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版本号：HRPD-ZFCG-2025-01720250609001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2025年富平县梅家坪镇北杨村冰柿加工厂房建设项目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HRPD-ZFCG-2025-017</w:t>
      </w:r>
      <w:r>
        <w:br/>
      </w:r>
      <w:r>
        <w:br/>
      </w:r>
      <w:r>
        <w:br/>
      </w:r>
    </w:p>
    <w:p>
      <w:pPr>
        <w:pStyle w:val="null3"/>
        <w:jc w:val="center"/>
        <w:outlineLvl w:val="2"/>
      </w:pPr>
      <w:r>
        <w:rPr>
          <w:rFonts w:ascii="仿宋_GB2312" w:hAnsi="仿宋_GB2312" w:cs="仿宋_GB2312" w:eastAsia="仿宋_GB2312"/>
          <w:sz w:val="28"/>
          <w:b/>
        </w:rPr>
        <w:t>富平县梅家坪镇人民政府（本级）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富平县梅家坪镇人民政府（本级）</w:t>
      </w:r>
      <w:r>
        <w:rPr>
          <w:rFonts w:ascii="仿宋_GB2312" w:hAnsi="仿宋_GB2312" w:cs="仿宋_GB2312" w:eastAsia="仿宋_GB2312"/>
        </w:rPr>
        <w:t>委托，拟对</w:t>
      </w:r>
      <w:r>
        <w:rPr>
          <w:rFonts w:ascii="仿宋_GB2312" w:hAnsi="仿宋_GB2312" w:cs="仿宋_GB2312" w:eastAsia="仿宋_GB2312"/>
        </w:rPr>
        <w:t>2025年富平县梅家坪镇北杨村冰柿加工厂房建设项目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2025年富平县梅家坪镇北杨村冰柿加工厂房建设项目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本项目新建钢结构厂房500㎡,长33m，宽15.2m，高4.5m;地面硬化600㎡，长30m，宽20m，厚度18cm等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采购包1（2025年富平县梅家坪镇北杨村冰柿加工厂房建设项目）：属于专门面向中小企业采购。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6、资质证书：需具有建设行政主管部门核发的建筑工程施工总承包三级及以上或钢结构工程专业承包三级及以上资质；并具有建设行政主管部门核发有效的安全生产许可证。</w:t>
      </w:r>
    </w:p>
    <w:p>
      <w:pPr>
        <w:pStyle w:val="null3"/>
      </w:pPr>
      <w:r>
        <w:rPr>
          <w:rFonts w:ascii="仿宋_GB2312" w:hAnsi="仿宋_GB2312" w:cs="仿宋_GB2312" w:eastAsia="仿宋_GB2312"/>
        </w:rPr>
        <w:t>7、项目经理：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w:t>
      </w:r>
    </w:p>
    <w:p>
      <w:pPr>
        <w:pStyle w:val="null3"/>
      </w:pPr>
      <w:r>
        <w:rPr>
          <w:rFonts w:ascii="仿宋_GB2312" w:hAnsi="仿宋_GB2312" w:cs="仿宋_GB2312" w:eastAsia="仿宋_GB2312"/>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信用信息：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10、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11、磋商保证金：提供磋商保证金交纳凭证；供应商需在项目电子化交易系统中按要求上传相应证明文件并进行电子签章。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12、非联合体磋商：非联合体磋商声明;供应商需在项目电子化交易系统中按要求上传相应证明文件并进行电子签章。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富平县梅家坪镇人民政府（本级）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富平县梅家坪镇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富平县梅家坪镇人民政府（本级）经办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17868558617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井红艳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 知（计价格[2002]1980 号）计算收取，不计入工程造价，按照《国家发展改革委办公厅关于招标代理服务收费有关问题的通知》（发改办价格〔2003〕 857 号）规定向成交供应商收取。造价咨询服务费按（陕价行发【2014】88 号文件）计算收取，不计入工程造价，由成交供应商支付。若本次招标失败（非代理机构原因），招标代理服务费和造价咨询服务费由中标人支付。具体金额详见中标（成交）结果公告，在领取中标通知书时向采购代理机构一 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富平县梅家坪镇人民政府（本级）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富平县梅家坪镇人民政府（本级）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富平县梅家坪镇人民政府（本级）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联系人：井红艳</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地址：陕西省渭南市富平县频阳大道云创大厦811室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697,014.39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2025年富平县梅家坪镇北杨村冰柿加工厂房建设项目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标的名称：2025年富平县梅家坪镇北杨村冰柿加工厂房建设项目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w:t>
            </w:r>
            <w:r>
              <w:rPr>
                <w:rFonts w:ascii="仿宋_GB2312" w:hAnsi="仿宋_GB2312" w:cs="仿宋_GB2312" w:eastAsia="仿宋_GB2312"/>
                <w:sz w:val="24"/>
                <w:b/>
                <w:color w:val="000000"/>
              </w:rPr>
              <w:t>概况</w:t>
            </w:r>
          </w:p>
          <w:p>
            <w:pPr>
              <w:pStyle w:val="null3"/>
              <w:spacing w:before="75"/>
              <w:ind w:right="30"/>
              <w:jc w:val="both"/>
            </w:pP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新建钢结构厂房</w:t>
            </w:r>
            <w:r>
              <w:rPr>
                <w:rFonts w:ascii="仿宋_GB2312" w:hAnsi="仿宋_GB2312" w:cs="仿宋_GB2312" w:eastAsia="仿宋_GB2312"/>
                <w:sz w:val="24"/>
                <w:color w:val="000000"/>
              </w:rPr>
              <w:t>500㎡,长33m，宽15.2m，高4.5m;地面硬化600㎡，长30m，宽20m，厚度18cm</w:t>
            </w:r>
            <w:r>
              <w:rPr>
                <w:rFonts w:ascii="仿宋_GB2312" w:hAnsi="仿宋_GB2312" w:cs="仿宋_GB2312" w:eastAsia="仿宋_GB2312"/>
                <w:sz w:val="24"/>
                <w:color w:val="000000"/>
              </w:rPr>
              <w:t>等。</w:t>
            </w:r>
          </w:p>
          <w:p>
            <w:pPr>
              <w:pStyle w:val="null3"/>
              <w:spacing w:before="75"/>
              <w:ind w:right="30"/>
            </w:pPr>
            <w:r>
              <w:rPr>
                <w:rFonts w:ascii="仿宋_GB2312" w:hAnsi="仿宋_GB2312" w:cs="仿宋_GB2312" w:eastAsia="仿宋_GB2312"/>
                <w:sz w:val="24"/>
                <w:b/>
                <w:color w:val="000000"/>
              </w:rPr>
              <w:t>二、实施地点</w:t>
            </w:r>
            <w:r>
              <w:rPr>
                <w:rFonts w:ascii="仿宋_GB2312" w:hAnsi="仿宋_GB2312" w:cs="仿宋_GB2312" w:eastAsia="仿宋_GB2312"/>
                <w:sz w:val="24"/>
                <w:color w:val="000000"/>
              </w:rPr>
              <w:t>：采购人指定地点</w:t>
            </w:r>
          </w:p>
          <w:p>
            <w:pPr>
              <w:pStyle w:val="null3"/>
              <w:spacing w:before="75"/>
              <w:ind w:right="30"/>
            </w:pPr>
            <w:r>
              <w:rPr>
                <w:rFonts w:ascii="仿宋_GB2312" w:hAnsi="仿宋_GB2312" w:cs="仿宋_GB2312" w:eastAsia="仿宋_GB2312"/>
                <w:sz w:val="24"/>
                <w:b/>
                <w:color w:val="000000"/>
              </w:rPr>
              <w:t>三、项目要求：</w:t>
            </w:r>
          </w:p>
          <w:p>
            <w:pPr>
              <w:pStyle w:val="null3"/>
            </w:pPr>
            <w:r>
              <w:rPr>
                <w:rFonts w:ascii="仿宋_GB2312" w:hAnsi="仿宋_GB2312" w:cs="仿宋_GB2312" w:eastAsia="仿宋_GB2312"/>
                <w:sz w:val="24"/>
              </w:rPr>
              <w:t>1.工程质量目标:达到国家现行施工验收规范“合格”标准。</w:t>
            </w:r>
          </w:p>
          <w:p>
            <w:pPr>
              <w:pStyle w:val="null3"/>
            </w:pPr>
            <w:r>
              <w:rPr>
                <w:rFonts w:ascii="仿宋_GB2312" w:hAnsi="仿宋_GB2312" w:cs="仿宋_GB2312" w:eastAsia="仿宋_GB2312"/>
                <w:sz w:val="24"/>
              </w:rPr>
              <w:t>2.文明施工:安全文明施工工地。</w:t>
            </w:r>
          </w:p>
          <w:p>
            <w:pPr>
              <w:pStyle w:val="null3"/>
            </w:pPr>
            <w:r>
              <w:rPr>
                <w:rFonts w:ascii="仿宋_GB2312" w:hAnsi="仿宋_GB2312" w:cs="仿宋_GB2312" w:eastAsia="仿宋_GB2312"/>
                <w:sz w:val="24"/>
                <w:b/>
              </w:rPr>
              <w:t>四、工期及质保期：</w:t>
            </w:r>
          </w:p>
          <w:p>
            <w:pPr>
              <w:pStyle w:val="null3"/>
            </w:pPr>
            <w:r>
              <w:rPr>
                <w:rFonts w:ascii="仿宋_GB2312" w:hAnsi="仿宋_GB2312" w:cs="仿宋_GB2312" w:eastAsia="仿宋_GB2312"/>
                <w:sz w:val="24"/>
              </w:rPr>
              <w:t>工期：</w:t>
            </w:r>
            <w:r>
              <w:rPr>
                <w:rFonts w:ascii="仿宋_GB2312" w:hAnsi="仿宋_GB2312" w:cs="仿宋_GB2312" w:eastAsia="仿宋_GB2312"/>
                <w:sz w:val="24"/>
              </w:rPr>
              <w:t>45日历天（计划开、竣工日期以施工合同签订时间为准）。</w:t>
            </w:r>
          </w:p>
          <w:p>
            <w:pPr>
              <w:pStyle w:val="null3"/>
            </w:pPr>
            <w:r>
              <w:rPr>
                <w:rFonts w:ascii="仿宋_GB2312" w:hAnsi="仿宋_GB2312" w:cs="仿宋_GB2312" w:eastAsia="仿宋_GB2312"/>
                <w:sz w:val="24"/>
                <w:b/>
              </w:rPr>
              <w:t>五、安全要求</w:t>
            </w:r>
          </w:p>
          <w:p>
            <w:pPr>
              <w:pStyle w:val="null3"/>
            </w:pPr>
            <w:r>
              <w:rPr>
                <w:rFonts w:ascii="仿宋_GB2312" w:hAnsi="仿宋_GB2312" w:cs="仿宋_GB2312" w:eastAsia="仿宋_GB2312"/>
                <w:sz w:val="24"/>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sz w:val="24"/>
                <w:b/>
              </w:rPr>
              <w:t>六、工程施工基本要求</w:t>
            </w:r>
          </w:p>
          <w:p>
            <w:pPr>
              <w:pStyle w:val="null3"/>
              <w:jc w:val="both"/>
            </w:pPr>
            <w:r>
              <w:rPr>
                <w:rFonts w:ascii="仿宋_GB2312" w:hAnsi="仿宋_GB2312" w:cs="仿宋_GB2312" w:eastAsia="仿宋_GB2312"/>
                <w:sz w:val="24"/>
                <w:color w:val="000000"/>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（1）在施工范围内按施工内容和要求制定详细的施工组织设计方案，方案科学、合理、可靠。 （2）人员配备合理。有针对本项目的项目团队，项目负责人、配备人员分工明确(应有具体成员名单，包括姓名、工作职责等) （3）有各类突发事件的应急预案和措施，有明确具体的承诺。 （4）供应商所拟派的工作人员，若在施工期间发生任何伤害，采购人概不负责，由供应商自行处理。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1、工期45日历天（计划开、竣工日期以施工合同签订时间为准）2、达到国家现行行业施工验收规范“合格”标准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需具有建设行政主管部门核发的建筑工程施工总承包三级及以上或钢结构工程专业承包三级及以上资质；并具有建设行政主管部门核发有效的安全生产许可证。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响应文件签字和盖章满足磋商文件的要求</w:t>
            </w:r>
          </w:p>
        </w:tc>
        <w:tc>
          <w:tcPr>
            <w:tcW w:type="dxa" w:w="1661"/>
          </w:tcPr>
          <w:p>
            <w:pPr>
              <w:pStyle w:val="null3"/>
            </w:pPr>
            <w:r>
              <w:rPr>
                <w:rFonts w:ascii="仿宋_GB2312" w:hAnsi="仿宋_GB2312" w:cs="仿宋_GB2312" w:eastAsia="仿宋_GB2312"/>
              </w:rPr>
              <w:t>报价一览表.docx 已标价工程量清单 技术服务合同条款及其他商务要求应答表.docx 中小企业声明函 技术服务合同条款及其他商务要求应答表 承诺书.docx 响应文件封面 残疾人福利性单位声明函 报价函 标的清单 响应函 监狱企业的证明文件 磋商保证金退还信息表.docx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供应商磋商报价未超出最高限价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工期满足或优于采购要求</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 质量标准满足磋商文件要求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①措施科学合理，针对性强且内容详细，得7分； ②措施基本科学合理，内容基本完整，得5分； ③内容粗略、欠佳，得3分；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①措施科学合理，针对性强且内容详细，得7分； ②措施基本科学合理，内容基本完整，得5分； ③内容粗略、欠佳，得3分；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确保文明施工、环境保护的技术组织措施</w:t>
            </w:r>
          </w:p>
        </w:tc>
        <w:tc>
          <w:tcPr>
            <w:tcW w:type="dxa" w:w="2492"/>
          </w:tcPr>
          <w:p>
            <w:pPr>
              <w:pStyle w:val="null3"/>
            </w:pPr>
            <w:r>
              <w:rPr>
                <w:rFonts w:ascii="仿宋_GB2312" w:hAnsi="仿宋_GB2312" w:cs="仿宋_GB2312" w:eastAsia="仿宋_GB2312"/>
              </w:rPr>
              <w:t>①措施科学合理，针对性强且内容详细，得7分； ②措施基本科学合理，内容基本完整，得5分； ③内容粗略、欠佳，得3分；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确保工期的技术组织措施及施工进度计划</w:t>
            </w:r>
          </w:p>
        </w:tc>
        <w:tc>
          <w:tcPr>
            <w:tcW w:type="dxa" w:w="2492"/>
          </w:tcPr>
          <w:p>
            <w:pPr>
              <w:pStyle w:val="null3"/>
            </w:pPr>
            <w:r>
              <w:rPr>
                <w:rFonts w:ascii="仿宋_GB2312" w:hAnsi="仿宋_GB2312" w:cs="仿宋_GB2312" w:eastAsia="仿宋_GB2312"/>
              </w:rPr>
              <w:t>①措施及计划科学合理，针对性强且内容详细，得7分； ②措施及计划基本科学合理，内容基本完整，得5分； ③内容粗略、欠佳，得3分；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①方案科学合理，针对性强且内容详细，得10分； ②方案科学合理，内容基本完整得 8 分； ③方案内容基本可行，得4分； ④内容粗略、欠佳，得2分； ⑤未提供不得分。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主要施工设备及劳动力计划</w:t>
            </w:r>
          </w:p>
        </w:tc>
        <w:tc>
          <w:tcPr>
            <w:tcW w:type="dxa" w:w="2492"/>
          </w:tcPr>
          <w:p>
            <w:pPr>
              <w:pStyle w:val="null3"/>
            </w:pPr>
            <w:r>
              <w:rPr>
                <w:rFonts w:ascii="仿宋_GB2312" w:hAnsi="仿宋_GB2312" w:cs="仿宋_GB2312" w:eastAsia="仿宋_GB2312"/>
              </w:rPr>
              <w:t>①计划安排科学合理，针对性强且内容详细，得7分 ； ②计划安排基本科学合理，内容基本完整，得5分； ③内容粗略、欠佳，得3分； 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2021年06月至今完成的类似业绩，一项得1.5分，最多得3分。（注：以上证明文件在磋商响应文件中附业绩合同扫描件并加盖公章）；未提供不得分。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根据供应商做出的承诺内容进行赋分： 编制内容详细、完整的得5分； 编制内容基本完整的得2分；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根据人员配置的齐全程度等综合评比得分，具有五大员上岗证书（安全员须具有安全生产考核合格证书）的一项得1分，最高得5分；未提供不得分。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详见附件：磋商保证金退还信息表.docx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