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版本号：HRPD-ZFCG-2025-02020250715001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2025年富平县淡村镇沐梵柿子加工配套项目(二次)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HRPD-ZFCG-2025-020</w:t>
      </w:r>
      <w:r>
        <w:br/>
      </w:r>
      <w:r>
        <w:br/>
      </w:r>
      <w:r>
        <w:br/>
      </w:r>
    </w:p>
    <w:p>
      <w:pPr>
        <w:pStyle w:val="null3"/>
        <w:jc w:val="center"/>
        <w:outlineLvl w:val="2"/>
      </w:pPr>
      <w:r>
        <w:rPr>
          <w:rFonts w:ascii="仿宋_GB2312" w:hAnsi="仿宋_GB2312" w:cs="仿宋_GB2312" w:eastAsia="仿宋_GB2312"/>
          <w:sz w:val="28"/>
          <w:b/>
        </w:rPr>
        <w:t>富平县淡村镇人民政府（本级）</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富平县淡村镇人民政府（本级）</w:t>
      </w:r>
      <w:r>
        <w:rPr>
          <w:rFonts w:ascii="仿宋_GB2312" w:hAnsi="仿宋_GB2312" w:cs="仿宋_GB2312" w:eastAsia="仿宋_GB2312"/>
        </w:rPr>
        <w:t>委托，拟对</w:t>
      </w:r>
      <w:r>
        <w:rPr>
          <w:rFonts w:ascii="仿宋_GB2312" w:hAnsi="仿宋_GB2312" w:cs="仿宋_GB2312" w:eastAsia="仿宋_GB2312"/>
        </w:rPr>
        <w:t>2025年富平县淡村镇沐梵柿子加工配套项目(二次)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HRPD-ZFCG-2025-020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2025年富平县淡村镇沐梵柿子加工配套项目(二次)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详见采购文件第三章技术参数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授权委托书（附法定代表人身份证复印件）及被授权委托人身份证复印件（法定代表人参加投标只须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3、有依法缴纳税收和社会保障资金的良好记录：提供2025 年以来任意 1 个月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4、供应商具有良好的商业信誉和健全的财务会计制度：须提供 2023年至今任意一年经审计的财务报告或投标前3个月内供应商基本账户银行出具的资信证明；供应商需在项目电子化交易系统中按要求上传相应证明文件并进行电子签章。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7、投标保证金：提供投标保证金交纳凭证；供应商需在项目电子化交易系统中按要求上传相应证明文件并进行电子签章。</w:t>
      </w:r>
    </w:p>
    <w:p>
      <w:pPr>
        <w:pStyle w:val="null3"/>
      </w:pPr>
      <w:r>
        <w:rPr>
          <w:rFonts w:ascii="仿宋_GB2312" w:hAnsi="仿宋_GB2312" w:cs="仿宋_GB2312" w:eastAsia="仿宋_GB2312"/>
        </w:rPr>
        <w:t>8、非联合体投标：非联合体投标声明；供应商需在项目电子化交易系统中按要求上传相应证明文件并进行电子签章。</w:t>
      </w:r>
    </w:p>
    <w:p>
      <w:pPr>
        <w:pStyle w:val="null3"/>
      </w:pPr>
      <w:r>
        <w:rPr>
          <w:rFonts w:ascii="仿宋_GB2312" w:hAnsi="仿宋_GB2312" w:cs="仿宋_GB2312" w:eastAsia="仿宋_GB2312"/>
        </w:rPr>
        <w:t>9、本项目为非专门面向中小企业采购项目：本项目为非专门面向中小企业采购项目；供应商应提交相关资格证明材料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富平县淡村镇人民政府（本级）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陕西省渭南市富平县淡村镇街道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富平县淡村镇人民政府（本级）经办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0913-8910001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井红艳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15511636505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开户名称：宏睿鹏达项目管理有限公司富平分公司</w:t>
            </w:r>
          </w:p>
          <w:p>
            <w:pPr>
              <w:pStyle w:val="null3"/>
            </w:pPr>
            <w:r>
              <w:rPr>
                <w:rFonts w:ascii="仿宋_GB2312" w:hAnsi="仿宋_GB2312" w:cs="仿宋_GB2312" w:eastAsia="仿宋_GB2312"/>
              </w:rPr>
              <w:t>开户银行：中国建设银行股份有限公司富平县东新街支行</w:t>
            </w:r>
          </w:p>
          <w:p>
            <w:pPr>
              <w:pStyle w:val="null3"/>
            </w:pPr>
            <w:r>
              <w:rPr>
                <w:rFonts w:ascii="仿宋_GB2312" w:hAnsi="仿宋_GB2312" w:cs="仿宋_GB2312" w:eastAsia="仿宋_GB2312"/>
              </w:rPr>
              <w:t>银行账号：61050164831500002163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在领取成交通知书时向采购代理机构一次付清(现金或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富平县淡村镇人民政府（本级）</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富平县淡村镇人民政府（本级）</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富平县淡村镇人民政府（本级）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联系人：井红艳</w:t>
      </w:r>
    </w:p>
    <w:p>
      <w:pPr>
        <w:pStyle w:val="null3"/>
      </w:pPr>
      <w:r>
        <w:rPr>
          <w:rFonts w:ascii="仿宋_GB2312" w:hAnsi="仿宋_GB2312" w:cs="仿宋_GB2312" w:eastAsia="仿宋_GB2312"/>
        </w:rPr>
        <w:t>联系电话：15511636505</w:t>
      </w:r>
    </w:p>
    <w:p>
      <w:pPr>
        <w:pStyle w:val="null3"/>
      </w:pPr>
      <w:r>
        <w:rPr>
          <w:rFonts w:ascii="仿宋_GB2312" w:hAnsi="仿宋_GB2312" w:cs="仿宋_GB2312" w:eastAsia="仿宋_GB2312"/>
        </w:rPr>
        <w:t>地址：陕西省渭南市富平县频阳大道云创大厦811室</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详见采购文件第三章技术参数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2025年富平县淡村镇沐梵柿子加工配套项目</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标的名称：2025年富平县淡村镇沐梵柿子加工配套项目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0"/>
              <w:gridCol w:w="617"/>
              <w:gridCol w:w="395"/>
              <w:gridCol w:w="903"/>
              <w:gridCol w:w="281"/>
            </w:tblGrid>
            <w:tr>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技术要求</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空气能热泵烘干机组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8台</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1、功率：≥8.5kw</w:t>
                  </w:r>
                </w:p>
                <w:p>
                  <w:pPr>
                    <w:pStyle w:val="null3"/>
                    <w:jc w:val="both"/>
                  </w:pPr>
                  <w:r>
                    <w:rPr>
                      <w:rFonts w:ascii="仿宋_GB2312" w:hAnsi="仿宋_GB2312" w:cs="仿宋_GB2312" w:eastAsia="仿宋_GB2312"/>
                      <w:sz w:val="24"/>
                    </w:rPr>
                    <w:t>2、额定脱水率：42Kg/h</w:t>
                  </w:r>
                </w:p>
                <w:p>
                  <w:pPr>
                    <w:pStyle w:val="null3"/>
                    <w:jc w:val="both"/>
                  </w:pPr>
                  <w:r>
                    <w:rPr>
                      <w:rFonts w:ascii="仿宋_GB2312" w:hAnsi="仿宋_GB2312" w:cs="仿宋_GB2312" w:eastAsia="仿宋_GB2312"/>
                      <w:sz w:val="24"/>
                    </w:rPr>
                    <w:t>3、适用环境温度:-5-40℃</w:t>
                  </w:r>
                </w:p>
                <w:p>
                  <w:pPr>
                    <w:pStyle w:val="null3"/>
                    <w:jc w:val="both"/>
                  </w:pPr>
                  <w:r>
                    <w:rPr>
                      <w:rFonts w:ascii="仿宋_GB2312" w:hAnsi="仿宋_GB2312" w:cs="仿宋_GB2312" w:eastAsia="仿宋_GB2312"/>
                      <w:sz w:val="24"/>
                    </w:rPr>
                    <w:t>4、额定制热能力：38KW</w:t>
                  </w:r>
                </w:p>
                <w:p>
                  <w:pPr>
                    <w:pStyle w:val="null3"/>
                    <w:jc w:val="both"/>
                  </w:pPr>
                  <w:r>
                    <w:rPr>
                      <w:rFonts w:ascii="仿宋_GB2312" w:hAnsi="仿宋_GB2312" w:cs="仿宋_GB2312" w:eastAsia="仿宋_GB2312"/>
                      <w:sz w:val="24"/>
                    </w:rPr>
                    <w:t>5、制冷剂：R22/R134a</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1个烘干房配2台</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节能鲜柿烘干房</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4个</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1、热源：空气能</w:t>
                  </w:r>
                </w:p>
                <w:p>
                  <w:pPr>
                    <w:pStyle w:val="null3"/>
                    <w:jc w:val="both"/>
                  </w:pPr>
                  <w:r>
                    <w:rPr>
                      <w:rFonts w:ascii="仿宋_GB2312" w:hAnsi="仿宋_GB2312" w:cs="仿宋_GB2312" w:eastAsia="仿宋_GB2312"/>
                      <w:sz w:val="24"/>
                    </w:rPr>
                    <w:t>2、额定制热量：≥75kw</w:t>
                  </w:r>
                </w:p>
                <w:p>
                  <w:pPr>
                    <w:pStyle w:val="null3"/>
                    <w:jc w:val="both"/>
                  </w:pPr>
                  <w:r>
                    <w:rPr>
                      <w:rFonts w:ascii="仿宋_GB2312" w:hAnsi="仿宋_GB2312" w:cs="仿宋_GB2312" w:eastAsia="仿宋_GB2312"/>
                      <w:sz w:val="24"/>
                    </w:rPr>
                    <w:t>3、烘干房热效率：≧60%</w:t>
                  </w:r>
                </w:p>
                <w:p>
                  <w:pPr>
                    <w:pStyle w:val="null3"/>
                    <w:jc w:val="both"/>
                  </w:pPr>
                  <w:r>
                    <w:rPr>
                      <w:rFonts w:ascii="仿宋_GB2312" w:hAnsi="仿宋_GB2312" w:cs="仿宋_GB2312" w:eastAsia="仿宋_GB2312"/>
                      <w:sz w:val="24"/>
                    </w:rPr>
                    <w:t>4、运行控制方式：智能加热、恒温、除湿</w:t>
                  </w:r>
                </w:p>
                <w:p>
                  <w:pPr>
                    <w:pStyle w:val="null3"/>
                    <w:jc w:val="both"/>
                  </w:pPr>
                  <w:r>
                    <w:rPr>
                      <w:rFonts w:ascii="仿宋_GB2312" w:hAnsi="仿宋_GB2312" w:cs="仿宋_GB2312" w:eastAsia="仿宋_GB2312"/>
                      <w:sz w:val="24"/>
                    </w:rPr>
                    <w:t>5、烘干房有效工作尺寸：≧10000x2800x2600mm</w:t>
                  </w:r>
                </w:p>
                <w:p>
                  <w:pPr>
                    <w:pStyle w:val="null3"/>
                    <w:jc w:val="both"/>
                  </w:pPr>
                  <w:r>
                    <w:rPr>
                      <w:rFonts w:ascii="仿宋_GB2312" w:hAnsi="仿宋_GB2312" w:cs="仿宋_GB2312" w:eastAsia="仿宋_GB2312"/>
                      <w:sz w:val="24"/>
                    </w:rPr>
                    <w:t>6、鲜柿单次进料：5000Kg</w:t>
                  </w:r>
                </w:p>
                <w:p>
                  <w:pPr>
                    <w:pStyle w:val="null3"/>
                    <w:jc w:val="both"/>
                  </w:pPr>
                  <w:r>
                    <w:rPr>
                      <w:rFonts w:ascii="仿宋_GB2312" w:hAnsi="仿宋_GB2312" w:cs="仿宋_GB2312" w:eastAsia="仿宋_GB2312"/>
                      <w:sz w:val="24"/>
                    </w:rPr>
                    <w:t>7、最高设定温度：≧55℃</w:t>
                  </w:r>
                </w:p>
                <w:p>
                  <w:pPr>
                    <w:pStyle w:val="null3"/>
                    <w:jc w:val="both"/>
                  </w:pPr>
                  <w:r>
                    <w:rPr>
                      <w:rFonts w:ascii="仿宋_GB2312" w:hAnsi="仿宋_GB2312" w:cs="仿宋_GB2312" w:eastAsia="仿宋_GB2312"/>
                      <w:sz w:val="24"/>
                    </w:rPr>
                    <w:t>8、保温层：100mm厚聚氨酯</w:t>
                  </w:r>
                </w:p>
                <w:p>
                  <w:pPr>
                    <w:pStyle w:val="null3"/>
                    <w:jc w:val="both"/>
                  </w:pPr>
                  <w:r>
                    <w:rPr>
                      <w:rFonts w:ascii="仿宋_GB2312" w:hAnsi="仿宋_GB2312" w:cs="仿宋_GB2312" w:eastAsia="仿宋_GB2312"/>
                      <w:sz w:val="24"/>
                    </w:rPr>
                    <w:t>9、保湿板内外材料：304不锈钢</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臭氧杀菌机</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4台</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rPr>
                    <w:t>、空间消毒</w:t>
                  </w:r>
                </w:p>
                <w:p>
                  <w:pPr>
                    <w:pStyle w:val="null3"/>
                    <w:jc w:val="both"/>
                  </w:pPr>
                  <w:r>
                    <w:rPr>
                      <w:rFonts w:ascii="仿宋_GB2312" w:hAnsi="仿宋_GB2312" w:cs="仿宋_GB2312" w:eastAsia="仿宋_GB2312"/>
                      <w:sz w:val="24"/>
                    </w:rPr>
                    <w:t>2、臭氧产量20g/h</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4套</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1、人机操作</w:t>
                  </w:r>
                </w:p>
                <w:p>
                  <w:pPr>
                    <w:pStyle w:val="null3"/>
                    <w:jc w:val="both"/>
                  </w:pPr>
                  <w:r>
                    <w:rPr>
                      <w:rFonts w:ascii="仿宋_GB2312" w:hAnsi="仿宋_GB2312" w:cs="仿宋_GB2312" w:eastAsia="仿宋_GB2312"/>
                      <w:sz w:val="24"/>
                    </w:rPr>
                    <w:t>2、7寸触摸显示屏</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相关配套</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循环风机</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1批</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国优</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0"/>
                  <w:vMerge/>
                  <w:tcBorders>
                    <w:top w:val="none" w:color="000000" w:sz="4"/>
                    <w:left w:val="singl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排湿风机</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1批</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国优</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0"/>
                  <w:vMerge/>
                  <w:tcBorders>
                    <w:top w:val="none" w:color="000000" w:sz="4"/>
                    <w:left w:val="singl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线缆、桥架等</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1批</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国优</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自签订合同之日起60日历日内完成本项目。</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双方完成合同签订后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初步验收合格后支付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质量保证金（质保期为自中标人履行完本项目合同全部工作并完成移交手续之次日起计算，为期1年）</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符合国家有关标准、规范要求，质量达到国家及行业现行验收规范合格标准。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要求经济索赔，并报请政府采购监督管理机关进行相应的行政处罚。采购人违约的，应当赔偿给成交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投标只须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 年以来任意 1 个月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须提供 2023年至今任意一年经审计的财务报告或投标前3个月内供应商基本账户银行出具的资信证明；供应商需在项目电子化交易系统中按要求上传相应证明文件并进行电子签章。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提供投标保证金交纳凭证；供应商需在项目电子化交易系统中按要求上传相应证明文件并进行电子签章。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本项目为非专门面向中小企业采购项目</w:t>
            </w:r>
          </w:p>
        </w:tc>
        <w:tc>
          <w:tcPr>
            <w:tcW w:type="dxa" w:w="3322"/>
          </w:tcPr>
          <w:p>
            <w:pPr>
              <w:pStyle w:val="null3"/>
            </w:pPr>
            <w:r>
              <w:rPr>
                <w:rFonts w:ascii="仿宋_GB2312" w:hAnsi="仿宋_GB2312" w:cs="仿宋_GB2312" w:eastAsia="仿宋_GB2312"/>
              </w:rPr>
              <w:t>本项目为非专门面向中小企业采购项目；供应商应提交相关资格证明材料</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中小企业声明函 承诺书.docx 商务应答表.docx 资格证明文件.docx 投标分项报价表.docx 业绩证明文件及响应方案说明.docx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供应商针对同一货物未递交两份或多份内容不同的投标文件，未出现选择性报价。</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开标一览表 投标分项报价表.docx 标的清单 商务应答表.docx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投标分项报价表.docx 业绩证明文件及响应方案说明.docx 投标函 中小企业声明函 残疾人福利性单位声明函 标的清单 承诺书.docx 商务应答表.docx 产品技术参数表.docx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投标分项报价表.docx 业绩证明文件及响应方案说明.docx 投标函 中小企业声明函 残疾人福利性单位声明函 标的清单 承诺书.docx 商务应答表.docx 产品技术参数表.docx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投标分项报价表.docx 投标函 业绩证明文件及响应方案说明.docx 中小企业声明函 残疾人福利性单位声明函 标的清单 承诺书.docx 商务应答表.docx 产品技术参数表.docx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货物技术参数指标</w:t>
            </w:r>
          </w:p>
        </w:tc>
        <w:tc>
          <w:tcPr>
            <w:tcW w:type="dxa" w:w="2492"/>
          </w:tcPr>
          <w:p>
            <w:pPr>
              <w:pStyle w:val="null3"/>
            </w:pPr>
            <w:r>
              <w:rPr>
                <w:rFonts w:ascii="仿宋_GB2312" w:hAnsi="仿宋_GB2312" w:cs="仿宋_GB2312" w:eastAsia="仿宋_GB2312"/>
              </w:rPr>
              <w:t>提供的货物技术参数指标需满足采购需求，负偏离一项扣1分，扣完为止;本项满分10分。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①质量保障方案完整、可操作性强、细节考虑到位，且优于招标文件要求的计5～8（含）分。 ②质量保障方案一般、有相对可操作性的计3～5（含）分。 ③质量保障方案简单的计0～3（含）分.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项目实施方案，包括供货安排，仓储、运输、安装、对接、派送措施，人员安排等，具有全面性、可行性、针对性，方案明确，布局规范。本项满分8分。 ①实施方案完整、可操作性强、细节考虑到位，且优于招标文件要求的计5～8（含）分。 ②实施方案基本完整，有相对的可操作性，描述良好的计 3～5（含）分。 ③描述符合招标文件要求，内容一般的计0～3（含）分。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提供2022年1月1日至今供应商已完成同类项目的业绩，一份合同得3分，满分6分。需提供合同复印件，未按要求完整提供证明文件不得分。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证明售后服务</w:t>
            </w:r>
          </w:p>
        </w:tc>
        <w:tc>
          <w:tcPr>
            <w:tcW w:type="dxa" w:w="2492"/>
          </w:tcPr>
          <w:p>
            <w:pPr>
              <w:pStyle w:val="null3"/>
            </w:pPr>
            <w:r>
              <w:rPr>
                <w:rFonts w:ascii="仿宋_GB2312" w:hAnsi="仿宋_GB2312" w:cs="仿宋_GB2312" w:eastAsia="仿宋_GB2312"/>
              </w:rPr>
              <w:t>具有完善的售后服务保障体系，对交付时间内质量、人员到位情况、后期服务的响应时间（方案还应当包含不能完全履行售后服务时愿意接受相关处罚的承诺），售后服务方案合理、及时有效与实际需求相符合。本项满分12分。 ①售后服务方案完善计7～12（含）分；售后服务方案基本完善计3～7（含）分； ②售后服务一般计0～3（含）分。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针对本项目提供切实可行的培训方案，培训方案完整，能够列出详细的培训内容、培训方式等，确保使用人员能够独立操作，并进行简单故障排查处理，根据响应程度及可实施性计0～8分，本项满分8分。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针对本项目突发情况的应对措施及其他针对本项目的合理化建议。根据本项目特点制定有效的应急预案、应急处理措施并提供合理化建议，根据响应内容程度计0～8分,本项满分8分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采用低价优先法计算，即满足招标文件要求且投标总报价最低的供应商的价格为投标基准价，其价格分为满分。其他供应商的价格分统一按照下列公式计算：投标报价得分=（投标基准价/投标总报价）×价格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 评审。承接本项目的供应商符合相应条件时，给予10%的价格扣除，即：评标价=最后报价×（1-10%）;监狱企业与残疾人福利性单位视同小型、微型企业，享受同等价格扣除，当企业属性重复时，不重复价格扣除。 本项目对应的中小企业划分标准所属行业为：工业。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详见附件：业绩证明文件及响应方案说明.docx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