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jc w:val="center"/>
        <w:outlineLvl w:val="1"/>
        <w:rPr>
          <w:rFonts w:hint="eastAsia" w:ascii="仿宋_GB2312" w:hAnsi="仿宋_GB2312" w:eastAsia="仿宋_GB2312" w:cs="仿宋_GB2312"/>
          <w:b/>
          <w:sz w:val="36"/>
          <w:lang w:val="en-US" w:eastAsia="zh-CN"/>
        </w:rPr>
      </w:pPr>
      <w:r>
        <w:rPr>
          <w:rFonts w:hint="eastAsia" w:ascii="仿宋_GB2312" w:hAnsi="仿宋_GB2312" w:eastAsia="仿宋_GB2312" w:cs="仿宋_GB2312"/>
          <w:b/>
          <w:sz w:val="36"/>
          <w:lang w:val="en-US" w:eastAsia="zh-CN"/>
        </w:rPr>
        <w:t>补充说明</w:t>
      </w:r>
    </w:p>
    <w:tbl>
      <w:tblPr>
        <w:tblStyle w:val="6"/>
        <w:tblW w:w="9245" w:type="dxa"/>
        <w:tblInd w:w="11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0"/>
        <w:gridCol w:w="1907"/>
        <w:gridCol w:w="64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序号</w:t>
            </w:r>
          </w:p>
        </w:tc>
        <w:tc>
          <w:tcPr>
            <w:tcW w:w="1907"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条款名称</w:t>
            </w:r>
          </w:p>
        </w:tc>
        <w:tc>
          <w:tcPr>
            <w:tcW w:w="6448"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lang w:val="en-US" w:eastAsia="zh-CN"/>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i w:val="0"/>
                <w:iCs w:val="0"/>
                <w:color w:val="auto"/>
                <w:sz w:val="24"/>
                <w:szCs w:val="24"/>
                <w:lang w:val="en-US" w:eastAsia="zh-CN"/>
              </w:rPr>
            </w:pPr>
            <w:r>
              <w:rPr>
                <w:rFonts w:hint="eastAsia" w:ascii="仿宋" w:hAnsi="仿宋" w:eastAsia="仿宋" w:cs="仿宋"/>
                <w:color w:val="auto"/>
                <w:sz w:val="24"/>
                <w:szCs w:val="24"/>
                <w:lang w:val="en-US" w:eastAsia="zh-CN"/>
              </w:rPr>
              <w:t>1</w:t>
            </w:r>
          </w:p>
        </w:tc>
        <w:tc>
          <w:tcPr>
            <w:tcW w:w="1907"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i w:val="0"/>
                <w:iCs w:val="0"/>
                <w:color w:val="auto"/>
                <w:kern w:val="2"/>
                <w:sz w:val="24"/>
                <w:szCs w:val="24"/>
                <w:lang w:val="en-US" w:eastAsia="zh-CN" w:bidi="ar-SA"/>
              </w:rPr>
            </w:pP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资格要求</w:t>
            </w:r>
            <w:r>
              <w:rPr>
                <w:rFonts w:hint="eastAsia" w:ascii="仿宋" w:hAnsi="仿宋" w:eastAsia="仿宋" w:cs="仿宋"/>
                <w:color w:val="auto"/>
                <w:sz w:val="24"/>
                <w:lang w:eastAsia="zh-CN"/>
              </w:rPr>
              <w:t>（</w:t>
            </w:r>
            <w:r>
              <w:rPr>
                <w:rFonts w:hint="eastAsia" w:ascii="仿宋" w:hAnsi="仿宋" w:eastAsia="仿宋" w:cs="仿宋"/>
                <w:color w:val="auto"/>
                <w:sz w:val="24"/>
                <w:lang w:val="en-US" w:eastAsia="zh-CN"/>
              </w:rPr>
              <w:t>实质性要求</w:t>
            </w:r>
            <w:r>
              <w:rPr>
                <w:rFonts w:hint="eastAsia" w:ascii="仿宋" w:hAnsi="仿宋" w:eastAsia="仿宋" w:cs="仿宋"/>
                <w:color w:val="auto"/>
                <w:sz w:val="24"/>
                <w:lang w:eastAsia="zh-CN"/>
              </w:rPr>
              <w:t>）</w:t>
            </w:r>
          </w:p>
        </w:tc>
        <w:tc>
          <w:tcPr>
            <w:tcW w:w="6448"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8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lang w:val="en-US" w:eastAsia="zh-CN"/>
              </w:rPr>
              <w:t>1）供应商发生合并、分立、破产等重大变化的，应及时书面告知采购人，否则承担一切不利后果。</w:t>
            </w:r>
          </w:p>
          <w:p>
            <w:pPr>
              <w:pStyle w:val="4"/>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00" w:lineRule="exact"/>
              <w:ind w:left="0" w:leftChars="0" w:firstLine="0" w:firstLineChars="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2）成交单位</w:t>
            </w:r>
            <w:r>
              <w:rPr>
                <w:rFonts w:hint="default" w:ascii="仿宋" w:hAnsi="仿宋" w:eastAsia="仿宋" w:cs="仿宋"/>
                <w:color w:val="auto"/>
                <w:sz w:val="24"/>
                <w:szCs w:val="24"/>
                <w:highlight w:val="none"/>
                <w:lang w:val="en-US" w:eastAsia="zh-CN"/>
              </w:rPr>
              <w:t>须保证企业</w:t>
            </w:r>
            <w:r>
              <w:rPr>
                <w:rFonts w:hint="eastAsia" w:ascii="仿宋" w:hAnsi="仿宋" w:eastAsia="仿宋" w:cs="仿宋"/>
                <w:color w:val="auto"/>
                <w:sz w:val="24"/>
                <w:szCs w:val="24"/>
                <w:highlight w:val="none"/>
                <w:lang w:val="en-US" w:eastAsia="zh-CN"/>
              </w:rPr>
              <w:t>及项目负责人必备资质及相关证书的有效性、连续性。评审结束之日起至履约结束，如期间</w:t>
            </w:r>
            <w:r>
              <w:rPr>
                <w:rFonts w:hint="default" w:ascii="仿宋" w:hAnsi="仿宋" w:eastAsia="仿宋" w:cs="仿宋"/>
                <w:color w:val="auto"/>
                <w:sz w:val="24"/>
                <w:szCs w:val="24"/>
                <w:highlight w:val="none"/>
                <w:lang w:val="en-US" w:eastAsia="zh-CN"/>
              </w:rPr>
              <w:t>遇到</w:t>
            </w:r>
            <w:r>
              <w:rPr>
                <w:rFonts w:hint="eastAsia" w:ascii="仿宋" w:hAnsi="仿宋" w:eastAsia="仿宋" w:cs="仿宋"/>
                <w:color w:val="auto"/>
                <w:sz w:val="24"/>
                <w:szCs w:val="24"/>
                <w:highlight w:val="none"/>
                <w:lang w:val="en-US" w:eastAsia="zh-CN"/>
              </w:rPr>
              <w:t>资质或证书</w:t>
            </w:r>
            <w:r>
              <w:rPr>
                <w:rFonts w:hint="default" w:ascii="仿宋" w:hAnsi="仿宋" w:eastAsia="仿宋" w:cs="仿宋"/>
                <w:color w:val="auto"/>
                <w:sz w:val="24"/>
                <w:szCs w:val="24"/>
                <w:highlight w:val="none"/>
                <w:lang w:val="en-US" w:eastAsia="zh-CN"/>
              </w:rPr>
              <w:t>临界</w:t>
            </w:r>
            <w:r>
              <w:rPr>
                <w:rFonts w:hint="eastAsia" w:ascii="仿宋" w:hAnsi="仿宋" w:eastAsia="仿宋" w:cs="仿宋"/>
                <w:color w:val="auto"/>
                <w:sz w:val="24"/>
                <w:szCs w:val="24"/>
                <w:highlight w:val="none"/>
                <w:lang w:val="en-US" w:eastAsia="zh-CN"/>
              </w:rPr>
              <w:t>到期需更换，成交单位应提前及时续办，</w:t>
            </w:r>
            <w:r>
              <w:rPr>
                <w:rFonts w:hint="default" w:ascii="仿宋" w:hAnsi="仿宋" w:eastAsia="仿宋" w:cs="仿宋"/>
                <w:color w:val="auto"/>
                <w:sz w:val="24"/>
                <w:szCs w:val="24"/>
                <w:highlight w:val="none"/>
                <w:lang w:val="en-US" w:eastAsia="zh-CN"/>
              </w:rPr>
              <w:t>否则采购人有权随时取消其中标或履约资格</w:t>
            </w:r>
            <w:r>
              <w:rPr>
                <w:rFonts w:hint="eastAsia" w:ascii="仿宋" w:hAnsi="仿宋" w:eastAsia="仿宋" w:cs="仿宋"/>
                <w:color w:val="auto"/>
                <w:sz w:val="24"/>
                <w:szCs w:val="24"/>
                <w:highlight w:val="none"/>
                <w:lang w:val="en-US" w:eastAsia="zh-CN"/>
              </w:rPr>
              <w:t>，由此造成的后果由中标人自行承担</w:t>
            </w:r>
            <w:r>
              <w:rPr>
                <w:rFonts w:hint="default" w:ascii="仿宋" w:hAnsi="仿宋" w:eastAsia="仿宋" w:cs="仿宋"/>
                <w:color w:val="auto"/>
                <w:sz w:val="24"/>
                <w:szCs w:val="24"/>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2</w:t>
            </w:r>
          </w:p>
        </w:tc>
        <w:tc>
          <w:tcPr>
            <w:tcW w:w="1907" w:type="dxa"/>
            <w:vAlign w:val="center"/>
          </w:tcPr>
          <w:p>
            <w:pPr>
              <w:keepNext w:val="0"/>
              <w:keepLines w:val="0"/>
              <w:pageBreakBefore w:val="0"/>
              <w:kinsoku/>
              <w:wordWrap/>
              <w:overflowPunct/>
              <w:topLinePunct w:val="0"/>
              <w:autoSpaceDE/>
              <w:autoSpaceDN/>
              <w:bidi w:val="0"/>
              <w:adjustRightInd/>
              <w:spacing w:line="500" w:lineRule="exact"/>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rPr>
              <w:t>现场勘查</w:t>
            </w:r>
          </w:p>
        </w:tc>
        <w:tc>
          <w:tcPr>
            <w:tcW w:w="6448" w:type="dxa"/>
            <w:vAlign w:val="center"/>
          </w:tcPr>
          <w:p>
            <w:pPr>
              <w:widowControl/>
              <w:spacing w:line="600" w:lineRule="exact"/>
              <w:rPr>
                <w:rFonts w:hint="default" w:ascii="仿宋" w:hAnsi="仿宋" w:eastAsia="仿宋" w:cs="仿宋"/>
                <w:color w:val="auto"/>
                <w:kern w:val="0"/>
                <w:sz w:val="24"/>
                <w:highlight w:val="none"/>
                <w:lang w:val="en-US" w:eastAsia="zh-CN"/>
              </w:rPr>
            </w:pPr>
            <w:r>
              <w:rPr>
                <w:rFonts w:hint="eastAsia" w:ascii="仿宋" w:hAnsi="仿宋" w:eastAsia="仿宋" w:cs="仿宋"/>
                <w:color w:val="auto"/>
                <w:kern w:val="0"/>
                <w:sz w:val="24"/>
                <w:highlight w:val="none"/>
                <w:lang w:val="en-US" w:eastAsia="zh-CN"/>
              </w:rPr>
              <w:t>不组织。</w:t>
            </w:r>
          </w:p>
          <w:p>
            <w:pPr>
              <w:widowControl/>
              <w:spacing w:line="600" w:lineRule="exact"/>
              <w:rPr>
                <w:rFonts w:hint="eastAsia" w:ascii="仿宋" w:hAnsi="仿宋" w:eastAsia="仿宋" w:cs="仿宋"/>
                <w:color w:val="auto"/>
                <w:kern w:val="0"/>
                <w:sz w:val="24"/>
                <w:highlight w:val="none"/>
                <w:lang w:val="en-US" w:eastAsia="zh-CN"/>
              </w:rPr>
            </w:pPr>
            <w:r>
              <w:rPr>
                <w:rFonts w:hint="eastAsia" w:ascii="仿宋" w:hAnsi="仿宋" w:eastAsia="仿宋" w:cs="仿宋"/>
                <w:color w:val="auto"/>
                <w:kern w:val="0"/>
                <w:sz w:val="24"/>
                <w:highlight w:val="none"/>
                <w:lang w:val="en-US" w:eastAsia="zh-CN"/>
              </w:rPr>
              <w:t>1.若需自行踏勘，请联系采购人。在踏勘现场中发生的费用、人员伤亡和财产损失均由供应商自行负责。</w:t>
            </w:r>
          </w:p>
          <w:p>
            <w:pPr>
              <w:pStyle w:val="2"/>
              <w:keepNext w:val="0"/>
              <w:keepLines w:val="0"/>
              <w:pageBreakBefore w:val="0"/>
              <w:kinsoku/>
              <w:wordWrap/>
              <w:overflowPunct/>
              <w:topLinePunct w:val="0"/>
              <w:autoSpaceDE/>
              <w:autoSpaceDN/>
              <w:bidi w:val="0"/>
              <w:adjustRightInd/>
              <w:spacing w:line="500" w:lineRule="exact"/>
              <w:ind w:firstLine="0" w:firstLineChars="0"/>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0"/>
                <w:sz w:val="24"/>
                <w:highlight w:val="none"/>
                <w:lang w:val="en-US" w:eastAsia="zh-CN"/>
              </w:rPr>
              <w:t>2.供应商在踏勘现场中了解到的相关情况，仅供其在编制投标文件时参考，采购人不对据此作出的判断和决策负责。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3</w:t>
            </w:r>
          </w:p>
        </w:tc>
        <w:tc>
          <w:tcPr>
            <w:tcW w:w="1907"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标前答疑会</w:t>
            </w:r>
          </w:p>
        </w:tc>
        <w:tc>
          <w:tcPr>
            <w:tcW w:w="6448" w:type="dxa"/>
            <w:vAlign w:val="center"/>
          </w:tcPr>
          <w:p>
            <w:pPr>
              <w:pStyle w:val="2"/>
              <w:keepNext w:val="0"/>
              <w:keepLines w:val="0"/>
              <w:pageBreakBefore w:val="0"/>
              <w:kinsoku/>
              <w:wordWrap/>
              <w:overflowPunct/>
              <w:topLinePunct w:val="0"/>
              <w:autoSpaceDE/>
              <w:autoSpaceDN/>
              <w:bidi w:val="0"/>
              <w:adjustRightInd/>
              <w:spacing w:line="500" w:lineRule="exact"/>
              <w:ind w:firstLine="0" w:firstLineChars="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不召开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w:t>
            </w:r>
          </w:p>
        </w:tc>
        <w:tc>
          <w:tcPr>
            <w:tcW w:w="1907" w:type="dxa"/>
            <w:tcBorders>
              <w:right w:val="nil"/>
            </w:tcBorders>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磋商文件</w:t>
            </w:r>
          </w:p>
        </w:tc>
        <w:tc>
          <w:tcPr>
            <w:tcW w:w="6448" w:type="dxa"/>
            <w:tcBorders>
              <w:left w:val="nil"/>
            </w:tcBorders>
            <w:vAlign w:val="center"/>
          </w:tcPr>
          <w:p>
            <w:pPr>
              <w:pStyle w:val="2"/>
              <w:keepNext w:val="0"/>
              <w:keepLines w:val="0"/>
              <w:pageBreakBefore w:val="0"/>
              <w:kinsoku/>
              <w:wordWrap/>
              <w:overflowPunct/>
              <w:topLinePunct w:val="0"/>
              <w:autoSpaceDE/>
              <w:autoSpaceDN/>
              <w:bidi w:val="0"/>
              <w:adjustRightInd/>
              <w:spacing w:line="500" w:lineRule="exact"/>
              <w:ind w:firstLine="0" w:firstLineChars="0"/>
              <w:rPr>
                <w:rFonts w:hint="eastAsia" w:ascii="仿宋" w:hAnsi="仿宋" w:eastAsia="仿宋" w:cs="仿宋"/>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highlight w:val="none"/>
                <w:lang w:val="en-US" w:eastAsia="zh-CN"/>
              </w:rPr>
              <w:t>4.1</w:t>
            </w:r>
          </w:p>
        </w:tc>
        <w:tc>
          <w:tcPr>
            <w:tcW w:w="1907"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磋商文件的</w:t>
            </w:r>
          </w:p>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highlight w:val="none"/>
              </w:rPr>
              <w:t>澄清、修改</w:t>
            </w:r>
          </w:p>
        </w:tc>
        <w:tc>
          <w:tcPr>
            <w:tcW w:w="6448" w:type="dxa"/>
            <w:vAlign w:val="top"/>
          </w:tcPr>
          <w:p>
            <w:pPr>
              <w:keepNext w:val="0"/>
              <w:keepLines w:val="0"/>
              <w:pageBreakBefore w:val="0"/>
              <w:kinsoku/>
              <w:wordWrap/>
              <w:overflowPunct/>
              <w:topLinePunct w:val="0"/>
              <w:autoSpaceDE/>
              <w:autoSpaceDN/>
              <w:bidi w:val="0"/>
              <w:adjustRightInd/>
              <w:spacing w:line="500" w:lineRule="exact"/>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rPr>
              <w:t>磋商文件发出后，</w:t>
            </w:r>
            <w:r>
              <w:rPr>
                <w:rFonts w:hint="eastAsia" w:ascii="仿宋" w:hAnsi="仿宋" w:eastAsia="仿宋" w:cs="仿宋"/>
                <w:color w:val="auto"/>
                <w:sz w:val="24"/>
                <w:szCs w:val="24"/>
                <w:lang w:val="en-US" w:eastAsia="zh-CN"/>
              </w:rPr>
              <w:t>代理机构对于磋商文件中同一内容前后不一致、表述不准确、错误或瑕疵以外其他</w:t>
            </w:r>
            <w:r>
              <w:rPr>
                <w:rFonts w:hint="eastAsia" w:ascii="仿宋" w:hAnsi="仿宋" w:eastAsia="仿宋" w:cs="仿宋"/>
                <w:color w:val="auto"/>
                <w:sz w:val="24"/>
                <w:szCs w:val="24"/>
              </w:rPr>
              <w:t>必要澄清、修改</w:t>
            </w:r>
            <w:r>
              <w:rPr>
                <w:rFonts w:hint="eastAsia" w:ascii="仿宋" w:hAnsi="仿宋" w:eastAsia="仿宋" w:cs="仿宋"/>
                <w:color w:val="auto"/>
                <w:sz w:val="24"/>
                <w:szCs w:val="24"/>
                <w:lang w:val="en-US" w:eastAsia="zh-CN"/>
              </w:rPr>
              <w:t>的内容，以公告的形式进行通知，</w:t>
            </w:r>
            <w:r>
              <w:rPr>
                <w:rFonts w:hint="eastAsia" w:ascii="仿宋" w:hAnsi="仿宋" w:eastAsia="仿宋" w:cs="仿宋"/>
                <w:color w:val="auto"/>
                <w:sz w:val="24"/>
                <w:szCs w:val="24"/>
              </w:rPr>
              <w:t>澄清、修改为</w:t>
            </w:r>
            <w:r>
              <w:rPr>
                <w:rFonts w:hint="eastAsia" w:ascii="仿宋" w:hAnsi="仿宋" w:eastAsia="仿宋" w:cs="仿宋"/>
                <w:color w:val="auto"/>
                <w:sz w:val="24"/>
                <w:szCs w:val="24"/>
                <w:lang w:val="en-US" w:eastAsia="zh-CN"/>
              </w:rPr>
              <w:t>磋商</w:t>
            </w:r>
            <w:r>
              <w:rPr>
                <w:rFonts w:hint="eastAsia" w:ascii="仿宋" w:hAnsi="仿宋" w:eastAsia="仿宋" w:cs="仿宋"/>
                <w:color w:val="auto"/>
                <w:sz w:val="24"/>
                <w:szCs w:val="24"/>
              </w:rPr>
              <w:t>文件的有效组成部分</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影响</w:t>
            </w:r>
            <w:r>
              <w:rPr>
                <w:rFonts w:hint="eastAsia" w:ascii="仿宋" w:hAnsi="仿宋" w:eastAsia="仿宋" w:cs="仿宋"/>
                <w:color w:val="auto"/>
                <w:sz w:val="24"/>
                <w:szCs w:val="24"/>
                <w:lang w:val="en-US" w:eastAsia="zh-CN"/>
              </w:rPr>
              <w:t>响应</w:t>
            </w:r>
            <w:r>
              <w:rPr>
                <w:rFonts w:hint="eastAsia" w:ascii="仿宋" w:hAnsi="仿宋" w:eastAsia="仿宋" w:cs="仿宋"/>
                <w:color w:val="auto"/>
                <w:sz w:val="24"/>
                <w:szCs w:val="24"/>
              </w:rPr>
              <w:t>文件编制的澄清、修改或说明</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应在</w:t>
            </w:r>
            <w:r>
              <w:rPr>
                <w:rFonts w:hint="eastAsia" w:ascii="仿宋" w:hAnsi="仿宋" w:eastAsia="仿宋" w:cs="仿宋"/>
                <w:color w:val="auto"/>
                <w:sz w:val="24"/>
                <w:szCs w:val="24"/>
                <w:lang w:val="en-US" w:eastAsia="zh-CN"/>
              </w:rPr>
              <w:t>提交首次</w:t>
            </w:r>
            <w:r>
              <w:rPr>
                <w:rFonts w:hint="eastAsia" w:ascii="仿宋" w:hAnsi="仿宋" w:eastAsia="仿宋" w:cs="仿宋"/>
                <w:color w:val="auto"/>
                <w:sz w:val="24"/>
                <w:szCs w:val="24"/>
              </w:rPr>
              <w:t>响应文件截止</w:t>
            </w:r>
            <w:r>
              <w:rPr>
                <w:rFonts w:hint="eastAsia" w:ascii="仿宋" w:hAnsi="仿宋" w:eastAsia="仿宋" w:cs="仿宋"/>
                <w:color w:val="auto"/>
                <w:sz w:val="24"/>
                <w:szCs w:val="24"/>
                <w:lang w:val="en-US" w:eastAsia="zh-CN"/>
              </w:rPr>
              <w:t>时间至少</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rPr>
              <w:t>日</w:t>
            </w:r>
            <w:r>
              <w:rPr>
                <w:rFonts w:hint="eastAsia" w:ascii="仿宋" w:hAnsi="仿宋" w:eastAsia="仿宋" w:cs="仿宋"/>
                <w:color w:val="auto"/>
                <w:sz w:val="24"/>
                <w:szCs w:val="24"/>
                <w:highlight w:val="none"/>
              </w:rPr>
              <w:t>前</w:t>
            </w:r>
            <w:r>
              <w:rPr>
                <w:rFonts w:hint="eastAsia" w:ascii="仿宋" w:hAnsi="仿宋" w:eastAsia="仿宋" w:cs="仿宋"/>
                <w:color w:val="auto"/>
                <w:sz w:val="24"/>
                <w:szCs w:val="24"/>
              </w:rPr>
              <w:t>进行，不足顺延。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default"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4.2</w:t>
            </w:r>
          </w:p>
        </w:tc>
        <w:tc>
          <w:tcPr>
            <w:tcW w:w="1907" w:type="dxa"/>
            <w:vAlign w:val="center"/>
          </w:tcPr>
          <w:p>
            <w:pPr>
              <w:keepNext w:val="0"/>
              <w:keepLines w:val="0"/>
              <w:pageBreakBefore w:val="0"/>
              <w:widowControl/>
              <w:kinsoku/>
              <w:wordWrap/>
              <w:overflowPunct/>
              <w:topLinePunct w:val="0"/>
              <w:autoSpaceDE/>
              <w:autoSpaceDN/>
              <w:bidi w:val="0"/>
              <w:adjustRightInd/>
              <w:spacing w:beforeAutospacing="0" w:afterAutospacing="0" w:line="50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0"/>
                <w:sz w:val="24"/>
                <w:szCs w:val="24"/>
                <w:highlight w:val="none"/>
                <w:lang w:val="en-US" w:eastAsia="zh-CN"/>
              </w:rPr>
              <w:t>供应商对磋商文件的</w:t>
            </w:r>
            <w:r>
              <w:rPr>
                <w:rFonts w:hint="eastAsia" w:ascii="仿宋" w:hAnsi="仿宋" w:eastAsia="仿宋" w:cs="仿宋"/>
                <w:color w:val="auto"/>
                <w:sz w:val="24"/>
                <w:szCs w:val="24"/>
                <w:highlight w:val="none"/>
                <w:lang w:val="en-US" w:eastAsia="zh-CN"/>
              </w:rPr>
              <w:t>咨询</w:t>
            </w:r>
          </w:p>
        </w:tc>
        <w:tc>
          <w:tcPr>
            <w:tcW w:w="6448" w:type="dxa"/>
            <w:vAlign w:val="top"/>
          </w:tcPr>
          <w:p>
            <w:pPr>
              <w:keepNext w:val="0"/>
              <w:keepLines w:val="0"/>
              <w:pageBreakBefore w:val="0"/>
              <w:widowControl/>
              <w:numPr>
                <w:ilvl w:val="0"/>
                <w:numId w:val="0"/>
              </w:numPr>
              <w:kinsoku/>
              <w:wordWrap/>
              <w:overflowPunct/>
              <w:topLinePunct w:val="0"/>
              <w:autoSpaceDE/>
              <w:autoSpaceDN/>
              <w:bidi w:val="0"/>
              <w:adjustRightInd/>
              <w:spacing w:beforeAutospacing="0" w:afterAutospacing="0" w:line="500" w:lineRule="exact"/>
              <w:rPr>
                <w:rFonts w:hint="eastAsia" w:ascii="仿宋" w:hAnsi="仿宋" w:eastAsia="仿宋" w:cs="仿宋"/>
                <w:color w:val="auto"/>
                <w:sz w:val="24"/>
                <w:szCs w:val="24"/>
                <w:highlight w:val="cyan"/>
                <w:lang w:val="en-US" w:eastAsia="zh-CN"/>
              </w:rPr>
            </w:pPr>
            <w:r>
              <w:rPr>
                <w:rFonts w:hint="eastAsia" w:ascii="仿宋" w:hAnsi="仿宋" w:eastAsia="仿宋" w:cs="仿宋"/>
                <w:color w:val="auto"/>
                <w:kern w:val="0"/>
                <w:sz w:val="24"/>
                <w:szCs w:val="24"/>
                <w:highlight w:val="none"/>
                <w:lang w:val="en-US" w:eastAsia="zh-CN"/>
              </w:rPr>
              <w:t>1.供应商</w:t>
            </w:r>
            <w:r>
              <w:rPr>
                <w:rFonts w:hint="eastAsia" w:ascii="仿宋" w:hAnsi="仿宋" w:eastAsia="仿宋" w:cs="仿宋"/>
                <w:color w:val="auto"/>
                <w:sz w:val="24"/>
                <w:szCs w:val="24"/>
                <w:highlight w:val="none"/>
                <w:lang w:val="en-US" w:eastAsia="zh-CN"/>
              </w:rPr>
              <w:t>获取</w:t>
            </w:r>
            <w:r>
              <w:rPr>
                <w:rFonts w:hint="eastAsia" w:ascii="仿宋" w:hAnsi="仿宋" w:eastAsia="仿宋" w:cs="仿宋"/>
                <w:color w:val="auto"/>
                <w:kern w:val="0"/>
                <w:sz w:val="24"/>
                <w:szCs w:val="24"/>
                <w:highlight w:val="none"/>
                <w:lang w:val="en-US" w:eastAsia="zh-CN"/>
              </w:rPr>
              <w:t>磋商文件后，应尽快认真阅读，</w:t>
            </w:r>
            <w:r>
              <w:rPr>
                <w:rFonts w:hint="eastAsia" w:ascii="仿宋" w:hAnsi="仿宋" w:eastAsia="仿宋" w:cs="仿宋"/>
                <w:color w:val="auto"/>
                <w:sz w:val="24"/>
                <w:highlight w:val="none"/>
                <w:lang w:val="en-US" w:eastAsia="zh-CN"/>
              </w:rPr>
              <w:t>对于磋商文件中出现的不一致、错误、漏项或其他问题，供应商应及时向代理公司提出咨询、确认，否则应视为其完全理解和接受磋商文件，对此造成的磋商不良后果供应商自担</w:t>
            </w:r>
            <w:r>
              <w:rPr>
                <w:rFonts w:hint="eastAsia" w:ascii="仿宋" w:hAnsi="仿宋" w:eastAsia="仿宋" w:cs="仿宋"/>
                <w:color w:val="auto"/>
                <w:sz w:val="24"/>
                <w:szCs w:val="24"/>
                <w:highlight w:val="none"/>
                <w:lang w:val="en-US" w:eastAsia="zh-CN"/>
              </w:rPr>
              <w:t>。</w:t>
            </w:r>
          </w:p>
          <w:p>
            <w:pPr>
              <w:keepNext w:val="0"/>
              <w:keepLines w:val="0"/>
              <w:pageBreakBefore w:val="0"/>
              <w:widowControl/>
              <w:numPr>
                <w:ilvl w:val="0"/>
                <w:numId w:val="0"/>
              </w:numPr>
              <w:kinsoku/>
              <w:wordWrap/>
              <w:overflowPunct/>
              <w:topLinePunct w:val="0"/>
              <w:autoSpaceDE/>
              <w:autoSpaceDN/>
              <w:bidi w:val="0"/>
              <w:adjustRightInd/>
              <w:spacing w:beforeAutospacing="0" w:afterAutospacing="0" w:line="500" w:lineRule="exact"/>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2.对于供应商对磋商文件的自我理解、判定、推测等造成的不利后果，由供应商自行承担。</w:t>
            </w:r>
          </w:p>
          <w:p>
            <w:pPr>
              <w:keepNext w:val="0"/>
              <w:keepLines w:val="0"/>
              <w:pageBreakBefore w:val="0"/>
              <w:widowControl/>
              <w:numPr>
                <w:ilvl w:val="0"/>
                <w:numId w:val="0"/>
              </w:numPr>
              <w:kinsoku/>
              <w:wordWrap/>
              <w:overflowPunct/>
              <w:topLinePunct w:val="0"/>
              <w:autoSpaceDE/>
              <w:autoSpaceDN/>
              <w:bidi w:val="0"/>
              <w:adjustRightInd/>
              <w:spacing w:beforeAutospacing="0" w:afterAutospacing="0" w:line="500" w:lineRule="exact"/>
              <w:rPr>
                <w:rFonts w:hint="eastAsia" w:ascii="仿宋" w:hAnsi="仿宋" w:eastAsia="仿宋" w:cs="仿宋"/>
                <w:color w:val="auto"/>
                <w:sz w:val="24"/>
                <w:szCs w:val="24"/>
                <w:lang w:val="en-US" w:eastAsia="zh-CN"/>
              </w:rPr>
            </w:pPr>
            <w:r>
              <w:rPr>
                <w:rFonts w:hint="eastAsia" w:ascii="仿宋" w:hAnsi="仿宋" w:eastAsia="仿宋" w:cs="仿宋"/>
                <w:color w:val="auto"/>
                <w:kern w:val="0"/>
                <w:sz w:val="24"/>
                <w:szCs w:val="24"/>
                <w:highlight w:val="none"/>
                <w:lang w:val="en-US" w:eastAsia="zh-CN"/>
              </w:rPr>
              <w:t>3.对于供应商未及时查看获取</w:t>
            </w:r>
            <w:r>
              <w:rPr>
                <w:rFonts w:hint="eastAsia" w:ascii="仿宋" w:hAnsi="仿宋" w:eastAsia="仿宋" w:cs="仿宋"/>
                <w:color w:val="auto"/>
                <w:sz w:val="24"/>
                <w:szCs w:val="24"/>
                <w:highlight w:val="none"/>
                <w:lang w:val="en-US" w:eastAsia="zh-CN"/>
              </w:rPr>
              <w:t>项目相关信息造成的不利后果，责任自负</w:t>
            </w:r>
            <w:r>
              <w:rPr>
                <w:rFonts w:hint="eastAsia" w:ascii="仿宋" w:hAnsi="仿宋" w:eastAsia="仿宋" w:cs="仿宋"/>
                <w:color w:val="auto"/>
                <w:kern w:val="0"/>
                <w:sz w:val="24"/>
                <w:szCs w:val="24"/>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5</w:t>
            </w:r>
          </w:p>
        </w:tc>
        <w:tc>
          <w:tcPr>
            <w:tcW w:w="1907"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highlight w:val="none"/>
                <w:lang w:val="en-US" w:eastAsia="zh-CN"/>
              </w:rPr>
              <w:t>对相关通知的确认</w:t>
            </w:r>
          </w:p>
        </w:tc>
        <w:tc>
          <w:tcPr>
            <w:tcW w:w="6448" w:type="dxa"/>
            <w:vAlign w:val="top"/>
          </w:tcPr>
          <w:p>
            <w:pPr>
              <w:keepNext w:val="0"/>
              <w:keepLines w:val="0"/>
              <w:pageBreakBefore w:val="0"/>
              <w:kinsoku/>
              <w:wordWrap/>
              <w:overflowPunct/>
              <w:topLinePunct w:val="0"/>
              <w:autoSpaceDE/>
              <w:autoSpaceDN/>
              <w:bidi w:val="0"/>
              <w:adjustRightInd/>
              <w:spacing w:line="500" w:lineRule="exact"/>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highlight w:val="none"/>
                <w:lang w:val="en-US" w:eastAsia="zh-CN"/>
              </w:rPr>
              <w:t>供应商应及时关注了解并掌握本项目相关信息的变化、通知，否则后果自负。采购人或代理机构不承担由于供应商信息错误、人员变动等原因造成的信息接收不及时、不准确及传递有误等不良后果。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w:t>
            </w:r>
          </w:p>
        </w:tc>
        <w:tc>
          <w:tcPr>
            <w:tcW w:w="1907" w:type="dxa"/>
            <w:tcBorders>
              <w:right w:val="nil"/>
            </w:tcBorders>
            <w:vAlign w:val="center"/>
          </w:tcPr>
          <w:p>
            <w:pPr>
              <w:pStyle w:val="9"/>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响应文件</w:t>
            </w:r>
          </w:p>
        </w:tc>
        <w:tc>
          <w:tcPr>
            <w:tcW w:w="6448" w:type="dxa"/>
            <w:tcBorders>
              <w:left w:val="nil"/>
            </w:tcBorders>
            <w:vAlign w:val="top"/>
          </w:tcPr>
          <w:p>
            <w:pPr>
              <w:keepNext w:val="0"/>
              <w:keepLines w:val="0"/>
              <w:pageBreakBefore w:val="0"/>
              <w:kinsoku/>
              <w:wordWrap/>
              <w:overflowPunct/>
              <w:topLinePunct w:val="0"/>
              <w:autoSpaceDE/>
              <w:autoSpaceDN/>
              <w:bidi w:val="0"/>
              <w:adjustRightInd/>
              <w:spacing w:line="500" w:lineRule="exact"/>
              <w:rPr>
                <w:rFonts w:hint="eastAsia" w:ascii="仿宋" w:hAnsi="仿宋" w:eastAsia="仿宋" w:cs="仿宋"/>
                <w:color w:val="auto"/>
                <w:kern w:val="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6.1</w:t>
            </w:r>
          </w:p>
        </w:tc>
        <w:tc>
          <w:tcPr>
            <w:tcW w:w="1907"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响应文件</w:t>
            </w:r>
          </w:p>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highlight w:val="none"/>
              </w:rPr>
              <w:t>编制、装订</w:t>
            </w:r>
          </w:p>
        </w:tc>
        <w:tc>
          <w:tcPr>
            <w:tcW w:w="6448"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rPr>
                <w:rFonts w:hint="default" w:ascii="仿宋" w:hAnsi="仿宋" w:eastAsia="仿宋" w:cs="仿宋"/>
                <w:b/>
                <w:bCs/>
                <w:strike w:val="0"/>
                <w:dstrike w:val="0"/>
                <w:color w:val="auto"/>
                <w:kern w:val="0"/>
                <w:sz w:val="24"/>
                <w:szCs w:val="24"/>
                <w:lang w:val="en-US" w:eastAsia="zh-CN"/>
              </w:rPr>
            </w:pPr>
            <w:r>
              <w:rPr>
                <w:rFonts w:hint="eastAsia" w:ascii="仿宋" w:hAnsi="仿宋" w:eastAsia="仿宋" w:cs="仿宋"/>
                <w:b/>
                <w:bCs/>
                <w:strike w:val="0"/>
                <w:dstrike w:val="0"/>
                <w:color w:val="auto"/>
                <w:kern w:val="0"/>
                <w:sz w:val="24"/>
                <w:szCs w:val="24"/>
                <w:lang w:val="en-US" w:eastAsia="zh-CN"/>
              </w:rPr>
              <w:t>1.线上文件编制：供应商编制文件时，应首先按磋商文件给定的目录、顺序、内容及格式等进行编制，其次供应商可根据其响应实际情况，在磋商文件给定的目录下增设多级子目录或其他新目录，内容对应准确，页码清晰。</w:t>
            </w:r>
          </w:p>
          <w:p>
            <w:pPr>
              <w:keepNext w:val="0"/>
              <w:keepLines w:val="0"/>
              <w:pageBreakBefore w:val="0"/>
              <w:widowControl w:val="0"/>
              <w:kinsoku/>
              <w:wordWrap/>
              <w:overflowPunct/>
              <w:topLinePunct w:val="0"/>
              <w:autoSpaceDE/>
              <w:autoSpaceDN/>
              <w:bidi w:val="0"/>
              <w:adjustRightInd/>
              <w:snapToGrid/>
              <w:spacing w:beforeAutospacing="0" w:afterAutospacing="0" w:line="500" w:lineRule="exact"/>
              <w:rPr>
                <w:rFonts w:hint="eastAsia" w:ascii="仿宋" w:hAnsi="仿宋" w:eastAsia="仿宋" w:cs="仿宋"/>
                <w:b/>
                <w:bCs/>
                <w:strike w:val="0"/>
                <w:dstrike w:val="0"/>
                <w:color w:val="auto"/>
                <w:kern w:val="0"/>
                <w:sz w:val="24"/>
                <w:szCs w:val="24"/>
                <w:lang w:val="en-US" w:eastAsia="zh-CN"/>
              </w:rPr>
            </w:pPr>
            <w:r>
              <w:rPr>
                <w:rFonts w:hint="eastAsia" w:ascii="仿宋" w:hAnsi="仿宋" w:eastAsia="仿宋" w:cs="仿宋"/>
                <w:b/>
                <w:bCs/>
                <w:strike w:val="0"/>
                <w:dstrike w:val="0"/>
                <w:color w:val="auto"/>
                <w:kern w:val="0"/>
                <w:sz w:val="24"/>
                <w:szCs w:val="24"/>
                <w:lang w:val="en-US" w:eastAsia="zh-CN"/>
              </w:rPr>
              <w:t>2.磋商评审结束后3个工作日内，</w:t>
            </w:r>
            <w:r>
              <w:rPr>
                <w:rFonts w:hint="eastAsia" w:ascii="仿宋" w:hAnsi="仿宋" w:eastAsia="仿宋" w:cs="仿宋"/>
                <w:b/>
                <w:bCs/>
                <w:strike w:val="0"/>
                <w:dstrike w:val="0"/>
                <w:color w:val="auto"/>
                <w:kern w:val="0"/>
                <w:sz w:val="24"/>
                <w:szCs w:val="24"/>
                <w:highlight w:val="none"/>
                <w:lang w:val="en-US" w:eastAsia="zh-CN"/>
              </w:rPr>
              <w:t>成交供应商</w:t>
            </w:r>
            <w:r>
              <w:rPr>
                <w:rFonts w:hint="eastAsia" w:ascii="仿宋" w:hAnsi="仿宋" w:eastAsia="仿宋" w:cs="仿宋"/>
                <w:b/>
                <w:bCs/>
                <w:strike w:val="0"/>
                <w:dstrike w:val="0"/>
                <w:color w:val="auto"/>
                <w:kern w:val="0"/>
                <w:sz w:val="24"/>
                <w:szCs w:val="24"/>
                <w:lang w:val="en-US" w:eastAsia="zh-CN"/>
              </w:rPr>
              <w:t>应提供纸质版响应文件（资质、商务、技术编制、胶装</w:t>
            </w:r>
            <w:r>
              <w:rPr>
                <w:rFonts w:hint="eastAsia" w:ascii="仿宋" w:hAnsi="仿宋" w:eastAsia="仿宋" w:cs="仿宋"/>
                <w:b/>
                <w:bCs/>
                <w:strike w:val="0"/>
                <w:dstrike w:val="0"/>
                <w:color w:val="auto"/>
                <w:kern w:val="0"/>
                <w:sz w:val="24"/>
                <w:szCs w:val="24"/>
                <w:lang w:val="en-US" w:eastAsia="zh-CN"/>
              </w:rPr>
              <w:t>成一册</w:t>
            </w:r>
            <w:r>
              <w:rPr>
                <w:rFonts w:hint="eastAsia" w:ascii="仿宋" w:hAnsi="仿宋" w:eastAsia="仿宋" w:cs="仿宋"/>
                <w:b/>
                <w:bCs/>
                <w:strike w:val="0"/>
                <w:dstrike w:val="0"/>
                <w:color w:val="auto"/>
                <w:kern w:val="0"/>
                <w:sz w:val="24"/>
                <w:szCs w:val="24"/>
                <w:lang w:val="en-US" w:eastAsia="zh-CN"/>
              </w:rPr>
              <w:t>）三本，送至代理机构存档备案。线下纸质版文件应与线上电子文件内容及格式保持一致。</w:t>
            </w:r>
          </w:p>
          <w:p>
            <w:pPr>
              <w:keepNext w:val="0"/>
              <w:keepLines w:val="0"/>
              <w:pageBreakBefore w:val="0"/>
              <w:widowControl w:val="0"/>
              <w:kinsoku/>
              <w:wordWrap/>
              <w:overflowPunct/>
              <w:topLinePunct w:val="0"/>
              <w:autoSpaceDE/>
              <w:autoSpaceDN/>
              <w:bidi w:val="0"/>
              <w:adjustRightInd/>
              <w:snapToGrid/>
              <w:spacing w:beforeAutospacing="0" w:afterAutospacing="0" w:line="500" w:lineRule="exact"/>
              <w:rPr>
                <w:rFonts w:hint="default"/>
                <w:color w:val="auto"/>
                <w:lang w:val="en-US" w:eastAsia="zh-CN"/>
              </w:rPr>
            </w:pPr>
            <w:r>
              <w:rPr>
                <w:rFonts w:hint="eastAsia" w:ascii="仿宋" w:hAnsi="仿宋" w:eastAsia="仿宋" w:cs="仿宋"/>
                <w:b/>
                <w:bCs/>
                <w:strike w:val="0"/>
                <w:dstrike w:val="0"/>
                <w:color w:val="auto"/>
                <w:kern w:val="0"/>
                <w:sz w:val="24"/>
                <w:szCs w:val="24"/>
                <w:lang w:val="en-US" w:eastAsia="zh-CN"/>
              </w:rPr>
              <w:t>文件编制提示：响应文件应做到页码、内容一一对应，准确无误，否则自行承担由此带来的评审不利后果。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6.2</w:t>
            </w:r>
          </w:p>
        </w:tc>
        <w:tc>
          <w:tcPr>
            <w:tcW w:w="1907"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lang w:val="en-US" w:eastAsia="zh-CN"/>
              </w:rPr>
              <w:t>磋</w:t>
            </w:r>
            <w:r>
              <w:rPr>
                <w:rFonts w:hint="eastAsia" w:ascii="仿宋" w:hAnsi="仿宋" w:eastAsia="仿宋" w:cs="仿宋"/>
                <w:color w:val="auto"/>
                <w:sz w:val="24"/>
                <w:szCs w:val="24"/>
                <w:highlight w:val="none"/>
                <w:lang w:val="en-US" w:eastAsia="zh-CN"/>
              </w:rPr>
              <w:t>商（响应）</w:t>
            </w:r>
          </w:p>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highlight w:val="none"/>
              </w:rPr>
              <w:t>报价</w:t>
            </w:r>
          </w:p>
        </w:tc>
        <w:tc>
          <w:tcPr>
            <w:tcW w:w="6448" w:type="dxa"/>
            <w:vAlign w:val="center"/>
          </w:tcPr>
          <w:p>
            <w:pPr>
              <w:keepNext w:val="0"/>
              <w:keepLines w:val="0"/>
              <w:pageBreakBefore w:val="0"/>
              <w:kinsoku/>
              <w:wordWrap/>
              <w:overflowPunct/>
              <w:topLinePunct w:val="0"/>
              <w:autoSpaceDE/>
              <w:autoSpaceDN/>
              <w:bidi w:val="0"/>
              <w:adjustRightInd/>
              <w:spacing w:line="50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rPr>
              <w:t>1.人民币报价</w:t>
            </w:r>
            <w:r>
              <w:rPr>
                <w:rFonts w:hint="eastAsia" w:ascii="仿宋" w:hAnsi="仿宋" w:eastAsia="仿宋" w:cs="仿宋"/>
                <w:color w:val="auto"/>
                <w:sz w:val="24"/>
                <w:szCs w:val="24"/>
                <w:highlight w:val="none"/>
                <w:lang w:val="en-US" w:eastAsia="zh-CN"/>
              </w:rPr>
              <w:t>，为含税价</w:t>
            </w:r>
            <w:r>
              <w:rPr>
                <w:rFonts w:hint="eastAsia" w:ascii="仿宋" w:hAnsi="仿宋" w:eastAsia="仿宋" w:cs="仿宋"/>
                <w:color w:val="auto"/>
                <w:sz w:val="24"/>
                <w:szCs w:val="24"/>
                <w:highlight w:val="none"/>
              </w:rPr>
              <w:t>。</w:t>
            </w:r>
          </w:p>
          <w:p>
            <w:pPr>
              <w:keepNext w:val="0"/>
              <w:keepLines w:val="0"/>
              <w:pageBreakBefore w:val="0"/>
              <w:kinsoku/>
              <w:wordWrap/>
              <w:overflowPunct/>
              <w:topLinePunct w:val="0"/>
              <w:autoSpaceDE/>
              <w:autoSpaceDN/>
              <w:bidi w:val="0"/>
              <w:adjustRightInd/>
              <w:spacing w:line="500" w:lineRule="exact"/>
              <w:rPr>
                <w:rFonts w:hint="eastAsia" w:ascii="仿宋" w:hAnsi="仿宋" w:eastAsia="仿宋" w:cs="仿宋"/>
                <w:strike/>
                <w:dstrike w:val="0"/>
                <w:color w:val="auto"/>
                <w:sz w:val="24"/>
                <w:szCs w:val="24"/>
                <w:highlight w:val="none"/>
                <w:lang w:val="en-US" w:eastAsia="zh-CN"/>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本项目为固定总价合同</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即全费用交钥匙价。即按采购要求及磋商响应完成本项目所发生的可预见和不可预见的一切费用</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采购人不再支付任何费用</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合同另有约定的事项除外）</w:t>
            </w:r>
            <w:r>
              <w:rPr>
                <w:rFonts w:hint="eastAsia" w:ascii="仿宋" w:hAnsi="仿宋" w:eastAsia="仿宋" w:cs="仿宋"/>
                <w:color w:val="auto"/>
                <w:sz w:val="24"/>
                <w:szCs w:val="24"/>
                <w:highlight w:val="none"/>
              </w:rPr>
              <w:t>。</w:t>
            </w:r>
          </w:p>
          <w:p>
            <w:pPr>
              <w:keepNext w:val="0"/>
              <w:keepLines w:val="0"/>
              <w:pageBreakBefore w:val="0"/>
              <w:numPr>
                <w:ilvl w:val="0"/>
                <w:numId w:val="0"/>
              </w:numPr>
              <w:kinsoku/>
              <w:wordWrap/>
              <w:overflowPunct/>
              <w:topLinePunct w:val="0"/>
              <w:autoSpaceDE/>
              <w:autoSpaceDN/>
              <w:bidi w:val="0"/>
              <w:adjustRightInd/>
              <w:snapToGrid w:val="0"/>
              <w:spacing w:line="500" w:lineRule="exact"/>
              <w:ind w:leftChars="0"/>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本项目成交价在合同期内应</w:t>
            </w:r>
            <w:r>
              <w:rPr>
                <w:rFonts w:hint="eastAsia" w:ascii="仿宋" w:hAnsi="仿宋" w:eastAsia="仿宋" w:cs="仿宋"/>
                <w:color w:val="auto"/>
                <w:sz w:val="24"/>
                <w:szCs w:val="24"/>
                <w:highlight w:val="none"/>
                <w:lang w:val="en-US" w:eastAsia="zh-CN"/>
              </w:rPr>
              <w:t>固定不变。（法定情形除外）</w:t>
            </w:r>
          </w:p>
          <w:p>
            <w:pPr>
              <w:keepNext w:val="0"/>
              <w:keepLines w:val="0"/>
              <w:pageBreakBefore w:val="0"/>
              <w:numPr>
                <w:ilvl w:val="0"/>
                <w:numId w:val="0"/>
              </w:numPr>
              <w:kinsoku/>
              <w:wordWrap/>
              <w:overflowPunct/>
              <w:topLinePunct w:val="0"/>
              <w:autoSpaceDE/>
              <w:autoSpaceDN/>
              <w:bidi w:val="0"/>
              <w:adjustRightInd/>
              <w:snapToGrid w:val="0"/>
              <w:spacing w:line="500" w:lineRule="exact"/>
              <w:ind w:leftChars="0"/>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供应商应全面考虑风险，及时了解和掌握项目情况及所在地区与本项目相关的政策、规定及价格等情况，结合企业自身技术力量、装备管理水平及市场行情，做到报价准确合理、合法合规，减少失误。报价不得违反《价格法》和《反不正当竞争法》的相关规定。因误读、理解偏差、对文件、项目或政策了解不全等原因造成的后果，将按照对采购人有利的方法进行处理，不利后果由供应商自行承担。</w:t>
            </w:r>
          </w:p>
          <w:p>
            <w:pPr>
              <w:keepNext w:val="0"/>
              <w:keepLines w:val="0"/>
              <w:pageBreakBefore w:val="0"/>
              <w:numPr>
                <w:ilvl w:val="0"/>
                <w:numId w:val="0"/>
              </w:numPr>
              <w:kinsoku/>
              <w:wordWrap/>
              <w:overflowPunct/>
              <w:topLinePunct w:val="0"/>
              <w:autoSpaceDE/>
              <w:autoSpaceDN/>
              <w:bidi w:val="0"/>
              <w:adjustRightInd/>
              <w:snapToGrid w:val="0"/>
              <w:spacing w:line="500" w:lineRule="exact"/>
              <w:ind w:leftChars="0"/>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5.供应商</w:t>
            </w:r>
            <w:r>
              <w:rPr>
                <w:rFonts w:hint="eastAsia" w:ascii="仿宋" w:hAnsi="仿宋" w:eastAsia="仿宋" w:cs="仿宋"/>
                <w:color w:val="auto"/>
                <w:sz w:val="24"/>
                <w:szCs w:val="24"/>
                <w:lang w:val="en-US" w:eastAsia="zh-CN"/>
              </w:rPr>
              <w:t>应</w:t>
            </w:r>
            <w:r>
              <w:rPr>
                <w:rFonts w:hint="eastAsia" w:ascii="仿宋" w:hAnsi="仿宋" w:eastAsia="仿宋" w:cs="仿宋"/>
                <w:color w:val="auto"/>
                <w:sz w:val="24"/>
                <w:szCs w:val="24"/>
                <w:highlight w:val="none"/>
                <w:lang w:val="en-US" w:eastAsia="zh-CN"/>
              </w:rPr>
              <w:t>严格执行</w:t>
            </w:r>
            <w:r>
              <w:rPr>
                <w:rFonts w:hint="eastAsia" w:ascii="仿宋" w:hAnsi="仿宋" w:eastAsia="仿宋" w:cs="仿宋"/>
                <w:color w:val="auto"/>
                <w:sz w:val="24"/>
                <w:szCs w:val="24"/>
              </w:rPr>
              <w:t>国家</w:t>
            </w:r>
            <w:r>
              <w:rPr>
                <w:rFonts w:hint="eastAsia" w:ascii="仿宋" w:hAnsi="仿宋" w:eastAsia="仿宋" w:cs="仿宋"/>
                <w:color w:val="auto"/>
                <w:sz w:val="24"/>
                <w:szCs w:val="24"/>
                <w:lang w:val="en-US" w:eastAsia="zh-CN"/>
              </w:rPr>
              <w:t>或</w:t>
            </w:r>
            <w:r>
              <w:rPr>
                <w:rFonts w:hint="eastAsia" w:ascii="仿宋" w:hAnsi="仿宋" w:eastAsia="仿宋" w:cs="仿宋"/>
                <w:color w:val="auto"/>
                <w:sz w:val="24"/>
                <w:szCs w:val="24"/>
              </w:rPr>
              <w:t>行业强制性规定</w:t>
            </w:r>
            <w:r>
              <w:rPr>
                <w:rFonts w:hint="eastAsia" w:ascii="仿宋" w:hAnsi="仿宋" w:eastAsia="仿宋" w:cs="仿宋"/>
                <w:color w:val="auto"/>
                <w:sz w:val="24"/>
                <w:szCs w:val="24"/>
                <w:highlight w:val="none"/>
                <w:lang w:val="en-US" w:eastAsia="zh-CN"/>
              </w:rPr>
              <w:t>执行</w:t>
            </w:r>
            <w:r>
              <w:rPr>
                <w:rFonts w:hint="eastAsia" w:ascii="仿宋" w:hAnsi="仿宋" w:eastAsia="仿宋" w:cs="仿宋"/>
                <w:color w:val="auto"/>
                <w:sz w:val="24"/>
                <w:szCs w:val="24"/>
              </w:rPr>
              <w:t>，不</w:t>
            </w:r>
            <w:r>
              <w:rPr>
                <w:rFonts w:hint="eastAsia" w:ascii="仿宋" w:hAnsi="仿宋" w:eastAsia="仿宋" w:cs="仿宋"/>
                <w:color w:val="auto"/>
                <w:sz w:val="24"/>
                <w:szCs w:val="24"/>
                <w:lang w:val="en-US" w:eastAsia="zh-CN"/>
              </w:rPr>
              <w:t>得</w:t>
            </w:r>
            <w:r>
              <w:rPr>
                <w:rFonts w:hint="eastAsia" w:ascii="仿宋" w:hAnsi="仿宋" w:eastAsia="仿宋" w:cs="仿宋"/>
                <w:color w:val="auto"/>
                <w:sz w:val="24"/>
                <w:szCs w:val="24"/>
              </w:rPr>
              <w:t>违反</w:t>
            </w:r>
            <w:r>
              <w:rPr>
                <w:rFonts w:hint="eastAsia" w:ascii="仿宋" w:hAnsi="仿宋" w:eastAsia="仿宋" w:cs="仿宋"/>
                <w:color w:val="auto"/>
                <w:sz w:val="24"/>
                <w:szCs w:val="24"/>
                <w:lang w:val="en-US" w:eastAsia="zh-CN"/>
              </w:rPr>
              <w:t>相关</w:t>
            </w:r>
            <w:r>
              <w:rPr>
                <w:rFonts w:hint="eastAsia" w:ascii="仿宋" w:hAnsi="仿宋" w:eastAsia="仿宋" w:cs="仿宋"/>
                <w:color w:val="auto"/>
                <w:sz w:val="24"/>
                <w:szCs w:val="24"/>
              </w:rPr>
              <w:t>法律法规</w:t>
            </w:r>
            <w:r>
              <w:rPr>
                <w:rFonts w:hint="eastAsia" w:ascii="仿宋" w:hAnsi="仿宋" w:eastAsia="仿宋" w:cs="仿宋"/>
                <w:color w:val="auto"/>
                <w:sz w:val="24"/>
                <w:szCs w:val="24"/>
                <w:lang w:val="en-US" w:eastAsia="zh-CN"/>
              </w:rPr>
              <w:t>及政策性文件等。</w:t>
            </w:r>
          </w:p>
          <w:p>
            <w:pPr>
              <w:keepNext w:val="0"/>
              <w:keepLines w:val="0"/>
              <w:pageBreakBefore w:val="0"/>
              <w:numPr>
                <w:ilvl w:val="0"/>
                <w:numId w:val="0"/>
              </w:numPr>
              <w:kinsoku/>
              <w:wordWrap/>
              <w:overflowPunct/>
              <w:topLinePunct w:val="0"/>
              <w:autoSpaceDE/>
              <w:autoSpaceDN/>
              <w:bidi w:val="0"/>
              <w:adjustRightInd/>
              <w:snapToGrid w:val="0"/>
              <w:spacing w:line="500" w:lineRule="exact"/>
              <w:ind w:left="0" w:leftChars="0" w:firstLine="0" w:firstLineChars="0"/>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highlight w:val="none"/>
                <w:lang w:val="en-US" w:eastAsia="zh-CN"/>
              </w:rPr>
              <w:t>6.漏报少报、错报误报、多报等风险自担，多报费用在价格评审时不扣除，但成交价中应当扣除。少报费用（未实质性响应除外）视为含在总报价中。但无论多报或少报费用，采购内容均以采购要求为准。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w:t>
            </w:r>
          </w:p>
        </w:tc>
        <w:tc>
          <w:tcPr>
            <w:tcW w:w="1907"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highlight w:val="none"/>
                <w:lang w:val="en-US" w:eastAsia="zh-CN"/>
              </w:rPr>
              <w:t>异常低价</w:t>
            </w:r>
          </w:p>
        </w:tc>
        <w:tc>
          <w:tcPr>
            <w:tcW w:w="6448" w:type="dxa"/>
            <w:vAlign w:val="center"/>
          </w:tcPr>
          <w:p>
            <w:pPr>
              <w:keepNext w:val="0"/>
              <w:keepLines w:val="0"/>
              <w:pageBreakBefore w:val="0"/>
              <w:kinsoku/>
              <w:wordWrap/>
              <w:overflowPunct/>
              <w:topLinePunct w:val="0"/>
              <w:autoSpaceDE/>
              <w:autoSpaceDN/>
              <w:bidi w:val="0"/>
              <w:adjustRightInd/>
              <w:spacing w:line="500" w:lineRule="exac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供应商以不合理的价格进行磋商，会扰乱采购市场，造成供应商之间的恶性价格竞争，违背公平竞争、公正原则和诚实信用原则</w:t>
            </w:r>
            <w:r>
              <w:rPr>
                <w:rFonts w:hint="eastAsia" w:ascii="仿宋" w:hAnsi="仿宋" w:eastAsia="仿宋" w:cs="仿宋"/>
                <w:color w:val="auto"/>
                <w:sz w:val="24"/>
                <w:szCs w:val="24"/>
                <w:highlight w:val="none"/>
                <w:lang w:val="en-US" w:eastAsia="zh-CN"/>
              </w:rPr>
              <w:t>，给履约带来很大风险</w:t>
            </w:r>
            <w:r>
              <w:rPr>
                <w:rFonts w:hint="eastAsia" w:ascii="仿宋" w:hAnsi="仿宋" w:eastAsia="仿宋" w:cs="仿宋"/>
                <w:color w:val="auto"/>
                <w:sz w:val="24"/>
                <w:szCs w:val="24"/>
                <w:lang w:val="en-US" w:eastAsia="zh-CN"/>
              </w:rPr>
              <w:t>。禁止恶意低价竞争。</w:t>
            </w:r>
          </w:p>
          <w:p>
            <w:pPr>
              <w:keepNext w:val="0"/>
              <w:keepLines w:val="0"/>
              <w:pageBreakBefore w:val="0"/>
              <w:kinsoku/>
              <w:wordWrap/>
              <w:overflowPunct/>
              <w:topLinePunct w:val="0"/>
              <w:autoSpaceDE/>
              <w:autoSpaceDN/>
              <w:bidi w:val="0"/>
              <w:adjustRightInd/>
              <w:spacing w:line="500" w:lineRule="exac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对于畸低或磋商小组认为低于成本或明显低于其他通过符合性审查投标人的报价，有可能影响项目质量或不能诚信履约的，磋商小组可要求其在评审现场规定时间内，提供有效书面说明文件、相关成本构成证明材料、相关承诺等。若供应商未按时提供或提供的佐证磋商小组认为不能有效证明</w:t>
            </w:r>
            <w:r>
              <w:rPr>
                <w:rFonts w:hint="eastAsia" w:ascii="仿宋" w:hAnsi="仿宋" w:eastAsia="仿宋" w:cs="仿宋"/>
                <w:color w:val="auto"/>
                <w:sz w:val="24"/>
                <w:szCs w:val="24"/>
                <w:highlight w:val="none"/>
                <w:lang w:val="en-US" w:eastAsia="zh-CN"/>
              </w:rPr>
              <w:t>价格合理性</w:t>
            </w:r>
            <w:r>
              <w:rPr>
                <w:rFonts w:hint="eastAsia" w:ascii="仿宋" w:hAnsi="仿宋" w:eastAsia="仿宋" w:cs="仿宋"/>
                <w:color w:val="auto"/>
                <w:sz w:val="24"/>
                <w:szCs w:val="24"/>
                <w:lang w:val="en-US" w:eastAsia="zh-CN"/>
              </w:rPr>
              <w:t>的，磋商小组可取消其候选人推荐资格；</w:t>
            </w:r>
          </w:p>
          <w:p>
            <w:pPr>
              <w:keepNext w:val="0"/>
              <w:keepLines w:val="0"/>
              <w:pageBreakBefore w:val="0"/>
              <w:kinsoku/>
              <w:wordWrap/>
              <w:overflowPunct/>
              <w:topLinePunct w:val="0"/>
              <w:autoSpaceDE/>
              <w:autoSpaceDN/>
              <w:bidi w:val="0"/>
              <w:adjustRightInd/>
              <w:spacing w:line="500" w:lineRule="exact"/>
              <w:jc w:val="both"/>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highlight w:val="none"/>
                <w:lang w:val="en-US" w:eastAsia="zh-CN"/>
              </w:rPr>
              <w:t>对于有效证明的异常低价合理的供应商，</w:t>
            </w:r>
            <w:r>
              <w:rPr>
                <w:rFonts w:hint="eastAsia" w:ascii="仿宋" w:hAnsi="仿宋" w:eastAsia="仿宋" w:cs="仿宋"/>
                <w:color w:val="auto"/>
                <w:sz w:val="24"/>
                <w:szCs w:val="24"/>
                <w:lang w:val="en-US" w:eastAsia="zh-CN"/>
              </w:rPr>
              <w:t>为保证项目质量及诚信履约，磋商小组可要求</w:t>
            </w:r>
            <w:r>
              <w:rPr>
                <w:rFonts w:hint="eastAsia" w:ascii="仿宋" w:hAnsi="仿宋" w:eastAsia="仿宋" w:cs="仿宋"/>
                <w:color w:val="auto"/>
                <w:sz w:val="24"/>
                <w:szCs w:val="24"/>
                <w:highlight w:val="none"/>
                <w:lang w:val="en-US" w:eastAsia="zh-CN"/>
              </w:rPr>
              <w:t>其</w:t>
            </w:r>
            <w:r>
              <w:rPr>
                <w:rFonts w:hint="eastAsia" w:ascii="仿宋" w:hAnsi="仿宋" w:eastAsia="仿宋" w:cs="仿宋"/>
                <w:color w:val="auto"/>
                <w:sz w:val="24"/>
                <w:szCs w:val="24"/>
                <w:lang w:val="en-US" w:eastAsia="zh-CN"/>
              </w:rPr>
              <w:t>现场提供诚信履约承诺书，</w:t>
            </w:r>
            <w:r>
              <w:rPr>
                <w:rFonts w:hint="eastAsia" w:ascii="仿宋" w:hAnsi="仿宋" w:eastAsia="仿宋" w:cs="仿宋"/>
                <w:color w:val="auto"/>
                <w:sz w:val="24"/>
                <w:szCs w:val="24"/>
              </w:rPr>
              <w:t>若</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lang w:val="en-US" w:eastAsia="zh-CN"/>
              </w:rPr>
              <w:t>拒</w:t>
            </w:r>
            <w:r>
              <w:rPr>
                <w:rFonts w:hint="eastAsia" w:ascii="仿宋" w:hAnsi="仿宋" w:eastAsia="仿宋" w:cs="仿宋"/>
                <w:color w:val="auto"/>
                <w:sz w:val="24"/>
                <w:szCs w:val="24"/>
                <w:highlight w:val="none"/>
                <w:lang w:val="en-US" w:eastAsia="zh-CN"/>
              </w:rPr>
              <w:t>不执行</w:t>
            </w:r>
            <w:r>
              <w:rPr>
                <w:rFonts w:hint="eastAsia" w:ascii="仿宋" w:hAnsi="仿宋" w:eastAsia="仿宋" w:cs="仿宋"/>
                <w:color w:val="auto"/>
                <w:sz w:val="24"/>
                <w:szCs w:val="24"/>
                <w:lang w:val="en-US" w:eastAsia="zh-CN"/>
              </w:rPr>
              <w:t>，磋商小组可取消其候选人推荐资格。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8</w:t>
            </w:r>
          </w:p>
        </w:tc>
        <w:tc>
          <w:tcPr>
            <w:tcW w:w="1907"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eastAsia="zh-CN"/>
              </w:rPr>
              <w:t>磋商原则</w:t>
            </w:r>
          </w:p>
        </w:tc>
        <w:tc>
          <w:tcPr>
            <w:tcW w:w="6448" w:type="dxa"/>
            <w:vAlign w:val="center"/>
          </w:tcPr>
          <w:p>
            <w:pPr>
              <w:keepNext w:val="0"/>
              <w:keepLines w:val="0"/>
              <w:pageBreakBefore w:val="0"/>
              <w:numPr>
                <w:ilvl w:val="0"/>
                <w:numId w:val="1"/>
              </w:numPr>
              <w:kinsoku/>
              <w:wordWrap/>
              <w:overflowPunct/>
              <w:topLinePunct w:val="0"/>
              <w:autoSpaceDE/>
              <w:autoSpaceDN/>
              <w:bidi w:val="0"/>
              <w:adjustRightInd/>
              <w:spacing w:line="500" w:lineRule="exac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磋商小组给予所有供应商平等的磋商机会。磋商小组集中与单一供应商分别进行磋商。</w:t>
            </w:r>
          </w:p>
          <w:p>
            <w:pPr>
              <w:keepNext w:val="0"/>
              <w:keepLines w:val="0"/>
              <w:pageBreakBefore w:val="0"/>
              <w:numPr>
                <w:ilvl w:val="0"/>
                <w:numId w:val="1"/>
              </w:numPr>
              <w:kinsoku/>
              <w:wordWrap/>
              <w:overflowPunct/>
              <w:topLinePunct w:val="0"/>
              <w:autoSpaceDE/>
              <w:autoSpaceDN/>
              <w:bidi w:val="0"/>
              <w:adjustRightInd/>
              <w:spacing w:line="500" w:lineRule="exact"/>
              <w:ind w:left="0" w:leftChars="0" w:firstLine="0" w:firstLineChars="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磋商轮次和报价次数根据磋商情况由磋商小组决定，磋商轮次至少一轮，报价次数不少于两次（含首次响应报价）。</w:t>
            </w:r>
          </w:p>
          <w:p>
            <w:pPr>
              <w:keepNext w:val="0"/>
              <w:keepLines w:val="0"/>
              <w:pageBreakBefore w:val="0"/>
              <w:numPr>
                <w:ilvl w:val="0"/>
                <w:numId w:val="1"/>
              </w:numPr>
              <w:kinsoku/>
              <w:wordWrap/>
              <w:overflowPunct/>
              <w:topLinePunct w:val="0"/>
              <w:autoSpaceDE/>
              <w:autoSpaceDN/>
              <w:bidi w:val="0"/>
              <w:adjustRightInd/>
              <w:spacing w:line="500" w:lineRule="exact"/>
              <w:ind w:left="0" w:leftChars="0" w:firstLine="0" w:firstLineChars="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磋商过程可能实质性变动采购需求中的技术、服务及合同条款等（磋商文件规定的实质性内容不得变动），变动后的内容须经采购人认可，并通知进入磋商环节的所有供应商，磋商结束后，供应商根据磋商变化后的内容提交响应文件和最后响应报价。</w:t>
            </w:r>
          </w:p>
          <w:p>
            <w:pPr>
              <w:keepNext w:val="0"/>
              <w:keepLines w:val="0"/>
              <w:pageBreakBefore w:val="0"/>
              <w:numPr>
                <w:ilvl w:val="0"/>
                <w:numId w:val="0"/>
              </w:numPr>
              <w:kinsoku/>
              <w:wordWrap/>
              <w:overflowPunct/>
              <w:topLinePunct w:val="0"/>
              <w:autoSpaceDE/>
              <w:autoSpaceDN/>
              <w:bidi w:val="0"/>
              <w:adjustRightInd/>
              <w:spacing w:line="500" w:lineRule="exact"/>
              <w:ind w:left="0" w:leftChars="0" w:firstLine="0" w:firstLineChars="0"/>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4.在提交最后报价之前，供应商可以根据磋商情况退出磋商。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9</w:t>
            </w:r>
          </w:p>
        </w:tc>
        <w:tc>
          <w:tcPr>
            <w:tcW w:w="1907" w:type="dxa"/>
            <w:vAlign w:val="center"/>
          </w:tcPr>
          <w:p>
            <w:pPr>
              <w:keepNext w:val="0"/>
              <w:keepLines w:val="0"/>
              <w:pageBreakBefore w:val="0"/>
              <w:kinsoku/>
              <w:wordWrap/>
              <w:overflowPunct/>
              <w:topLinePunct w:val="0"/>
              <w:autoSpaceDE/>
              <w:autoSpaceDN/>
              <w:bidi w:val="0"/>
              <w:adjustRightInd/>
              <w:snapToGrid w:val="0"/>
              <w:spacing w:line="500" w:lineRule="exact"/>
              <w:jc w:val="center"/>
              <w:textAlignment w:val="baseline"/>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lang w:val="en-US" w:eastAsia="zh-CN"/>
              </w:rPr>
              <w:t>响应</w:t>
            </w:r>
            <w:r>
              <w:rPr>
                <w:rFonts w:hint="eastAsia" w:ascii="仿宋" w:hAnsi="仿宋" w:eastAsia="仿宋" w:cs="仿宋"/>
                <w:color w:val="auto"/>
                <w:sz w:val="24"/>
                <w:szCs w:val="24"/>
                <w:highlight w:val="none"/>
                <w:lang w:val="en-US" w:eastAsia="zh-CN"/>
              </w:rPr>
              <w:t>备选方案</w:t>
            </w:r>
          </w:p>
        </w:tc>
        <w:tc>
          <w:tcPr>
            <w:tcW w:w="6448" w:type="dxa"/>
            <w:vAlign w:val="center"/>
          </w:tcPr>
          <w:p>
            <w:pPr>
              <w:keepNext w:val="0"/>
              <w:keepLines w:val="0"/>
              <w:pageBreakBefore w:val="0"/>
              <w:kinsoku/>
              <w:wordWrap/>
              <w:overflowPunct/>
              <w:topLinePunct w:val="0"/>
              <w:autoSpaceDE/>
              <w:autoSpaceDN/>
              <w:bidi w:val="0"/>
              <w:adjustRightInd/>
              <w:snapToGrid w:val="0"/>
              <w:spacing w:line="500" w:lineRule="exact"/>
              <w:jc w:val="left"/>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10</w:t>
            </w:r>
          </w:p>
        </w:tc>
        <w:tc>
          <w:tcPr>
            <w:tcW w:w="1907"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履约保证</w:t>
            </w:r>
            <w:r>
              <w:rPr>
                <w:rFonts w:hint="eastAsia" w:ascii="仿宋" w:hAnsi="仿宋" w:eastAsia="仿宋" w:cs="仿宋"/>
                <w:color w:val="auto"/>
                <w:sz w:val="24"/>
                <w:szCs w:val="24"/>
                <w:highlight w:val="none"/>
                <w:lang w:val="en-US" w:eastAsia="zh-CN"/>
              </w:rPr>
              <w:t>金</w:t>
            </w:r>
          </w:p>
        </w:tc>
        <w:tc>
          <w:tcPr>
            <w:tcW w:w="6448" w:type="dxa"/>
            <w:vAlign w:val="center"/>
          </w:tcPr>
          <w:p>
            <w:pPr>
              <w:pStyle w:val="2"/>
              <w:keepNext w:val="0"/>
              <w:keepLines w:val="0"/>
              <w:pageBreakBefore w:val="0"/>
              <w:kinsoku/>
              <w:wordWrap/>
              <w:overflowPunct/>
              <w:topLinePunct w:val="0"/>
              <w:autoSpaceDE/>
              <w:autoSpaceDN/>
              <w:bidi w:val="0"/>
              <w:adjustRightInd/>
              <w:spacing w:line="500" w:lineRule="exact"/>
              <w:ind w:firstLine="0" w:firstLineChars="0"/>
              <w:rPr>
                <w:rFonts w:hint="eastAsia"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b w:val="0"/>
                <w:bCs w:val="0"/>
                <w:i w:val="0"/>
                <w:iCs w:val="0"/>
                <w:color w:val="auto"/>
                <w:sz w:val="24"/>
                <w:szCs w:val="24"/>
                <w:lang w:val="en-US" w:eastAsia="zh-CN"/>
              </w:rPr>
              <w:t>（合同约定除外）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11</w:t>
            </w:r>
          </w:p>
        </w:tc>
        <w:tc>
          <w:tcPr>
            <w:tcW w:w="1907" w:type="dxa"/>
            <w:vAlign w:val="center"/>
          </w:tcPr>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beforeAutospacing="0" w:afterAutospacing="0" w:line="500" w:lineRule="exact"/>
              <w:ind w:left="0" w:leftChars="0" w:firstLine="0" w:firstLineChars="0"/>
              <w:jc w:val="center"/>
              <w:rPr>
                <w:rFonts w:hint="eastAsia" w:ascii="仿宋" w:hAnsi="仿宋" w:eastAsia="仿宋" w:cs="仿宋"/>
                <w:color w:val="auto"/>
                <w:kern w:val="2"/>
                <w:sz w:val="24"/>
                <w:szCs w:val="24"/>
                <w:lang w:val="en-US" w:eastAsia="zh-CN" w:bidi="ar-SA"/>
              </w:rPr>
            </w:pPr>
            <w:r>
              <w:rPr>
                <w:rFonts w:hint="eastAsia" w:ascii="仿宋" w:hAnsi="仿宋" w:eastAsia="仿宋" w:cs="仿宋"/>
                <w:b w:val="0"/>
                <w:bCs w:val="0"/>
                <w:color w:val="auto"/>
                <w:kern w:val="0"/>
                <w:sz w:val="24"/>
                <w:szCs w:val="24"/>
                <w:lang w:val="en-US" w:eastAsia="zh-CN" w:bidi="ar-SA"/>
              </w:rPr>
              <w:t>实质性条款</w:t>
            </w:r>
          </w:p>
        </w:tc>
        <w:tc>
          <w:tcPr>
            <w:tcW w:w="6448" w:type="dxa"/>
            <w:vAlign w:val="center"/>
          </w:tcPr>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beforeAutospacing="0" w:afterAutospacing="0" w:line="500" w:lineRule="exact"/>
              <w:ind w:left="0" w:leftChars="0" w:firstLine="0" w:firstLineChars="0"/>
              <w:rPr>
                <w:rFonts w:hint="eastAsia" w:ascii="仿宋" w:hAnsi="仿宋" w:eastAsia="仿宋" w:cs="仿宋"/>
                <w:color w:val="auto"/>
                <w:kern w:val="2"/>
                <w:sz w:val="24"/>
                <w:szCs w:val="24"/>
                <w:lang w:val="en-US" w:eastAsia="zh-CN" w:bidi="ar-SA"/>
              </w:rPr>
            </w:pPr>
            <w:r>
              <w:rPr>
                <w:rFonts w:hint="eastAsia" w:ascii="仿宋" w:hAnsi="仿宋" w:eastAsia="仿宋" w:cs="仿宋"/>
                <w:b/>
                <w:bCs/>
                <w:color w:val="auto"/>
                <w:kern w:val="0"/>
                <w:sz w:val="24"/>
                <w:szCs w:val="24"/>
                <w:lang w:val="en-US" w:eastAsia="zh-CN" w:bidi="ar-SA"/>
              </w:rPr>
              <w:t>1.供应商资格要求；2.符合性要求；</w:t>
            </w:r>
            <w:r>
              <w:rPr>
                <w:rFonts w:hint="eastAsia" w:ascii="仿宋" w:hAnsi="仿宋" w:eastAsia="仿宋" w:cs="仿宋"/>
                <w:b/>
                <w:bCs/>
                <w:color w:val="auto"/>
                <w:sz w:val="24"/>
                <w:szCs w:val="24"/>
                <w:highlight w:val="none"/>
                <w:lang w:val="en-US" w:eastAsia="zh-CN"/>
              </w:rPr>
              <w:t>3.法律法规和磋商文件规定的其他实质性要求。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12</w:t>
            </w:r>
          </w:p>
        </w:tc>
        <w:tc>
          <w:tcPr>
            <w:tcW w:w="1907" w:type="dxa"/>
            <w:vAlign w:val="center"/>
          </w:tcPr>
          <w:p>
            <w:pPr>
              <w:keepNext w:val="0"/>
              <w:keepLines w:val="0"/>
              <w:pageBreakBefore w:val="0"/>
              <w:kinsoku/>
              <w:wordWrap/>
              <w:overflowPunct/>
              <w:topLinePunct w:val="0"/>
              <w:autoSpaceDE/>
              <w:autoSpaceDN/>
              <w:bidi w:val="0"/>
              <w:adjustRightInd/>
              <w:spacing w:line="500" w:lineRule="exact"/>
              <w:jc w:val="center"/>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磋商文件的</w:t>
            </w:r>
          </w:p>
          <w:p>
            <w:pPr>
              <w:keepNext w:val="0"/>
              <w:keepLines w:val="0"/>
              <w:pageBreakBefore w:val="0"/>
              <w:kinsoku/>
              <w:wordWrap/>
              <w:overflowPunct/>
              <w:topLinePunct w:val="0"/>
              <w:autoSpaceDE/>
              <w:autoSpaceDN/>
              <w:bidi w:val="0"/>
              <w:adjustRightInd/>
              <w:spacing w:line="500" w:lineRule="exact"/>
              <w:jc w:val="center"/>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效力层级</w:t>
            </w:r>
          </w:p>
        </w:tc>
        <w:tc>
          <w:tcPr>
            <w:tcW w:w="6448" w:type="dxa"/>
            <w:vAlign w:val="center"/>
          </w:tcPr>
          <w:p>
            <w:pPr>
              <w:keepNext w:val="0"/>
              <w:keepLines w:val="0"/>
              <w:pageBreakBefore w:val="0"/>
              <w:kinsoku/>
              <w:wordWrap/>
              <w:overflowPunct/>
              <w:topLinePunct w:val="0"/>
              <w:autoSpaceDE/>
              <w:autoSpaceDN/>
              <w:bidi w:val="0"/>
              <w:adjustRightInd/>
              <w:spacing w:line="500" w:lineRule="exact"/>
              <w:jc w:val="left"/>
              <w:textAlignment w:val="baseline"/>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若磋商文件前后内容不一致或有误时，按文件效力层级依次确定：磋商公告（以最后公告为准）、磋商文件的</w:t>
            </w:r>
            <w:r>
              <w:rPr>
                <w:rFonts w:hint="eastAsia" w:ascii="仿宋" w:hAnsi="仿宋" w:eastAsia="仿宋" w:cs="仿宋"/>
                <w:color w:val="auto"/>
                <w:kern w:val="0"/>
                <w:sz w:val="24"/>
                <w:szCs w:val="24"/>
                <w:lang w:val="en-US" w:eastAsia="zh-CN"/>
              </w:rPr>
              <w:t>报价函、</w:t>
            </w:r>
            <w:r>
              <w:rPr>
                <w:rFonts w:hint="eastAsia" w:ascii="仿宋" w:hAnsi="仿宋" w:eastAsia="仿宋" w:cs="仿宋"/>
                <w:color w:val="auto"/>
                <w:sz w:val="24"/>
                <w:szCs w:val="24"/>
                <w:lang w:val="en-US" w:eastAsia="zh-CN"/>
              </w:rPr>
              <w:t>磋商文件前附表、符合性审查内容和评分标准、磋商文件其他内容。对于磋商文件不影响评审进行的瑕疵，在代理机构澄清确认后继续评审。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13</w:t>
            </w:r>
          </w:p>
        </w:tc>
        <w:tc>
          <w:tcPr>
            <w:tcW w:w="1907"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rPr>
              <w:t>数字计算</w:t>
            </w:r>
          </w:p>
        </w:tc>
        <w:tc>
          <w:tcPr>
            <w:tcW w:w="6448" w:type="dxa"/>
            <w:vAlign w:val="center"/>
          </w:tcPr>
          <w:p>
            <w:pPr>
              <w:keepNext w:val="0"/>
              <w:keepLines w:val="0"/>
              <w:pageBreakBefore w:val="0"/>
              <w:kinsoku/>
              <w:wordWrap/>
              <w:overflowPunct/>
              <w:topLinePunct w:val="0"/>
              <w:autoSpaceDE/>
              <w:autoSpaceDN/>
              <w:bidi w:val="0"/>
              <w:adjustRightInd/>
              <w:spacing w:line="500" w:lineRule="exact"/>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四舍五入，保留小数点后两位</w:t>
            </w: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（特殊说明除外）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14</w:t>
            </w:r>
          </w:p>
        </w:tc>
        <w:tc>
          <w:tcPr>
            <w:tcW w:w="1907" w:type="dxa"/>
            <w:tcBorders>
              <w:right w:val="nil"/>
            </w:tcBorders>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0"/>
                <w:sz w:val="24"/>
                <w:szCs w:val="24"/>
                <w:lang w:eastAsia="zh-CN"/>
              </w:rPr>
              <w:t>中小企业</w:t>
            </w:r>
          </w:p>
        </w:tc>
        <w:tc>
          <w:tcPr>
            <w:tcW w:w="6448" w:type="dxa"/>
            <w:tcBorders>
              <w:left w:val="nil"/>
            </w:tcBorders>
            <w:vAlign w:val="center"/>
          </w:tcPr>
          <w:p>
            <w:pPr>
              <w:keepNext w:val="0"/>
              <w:keepLines w:val="0"/>
              <w:pageBreakBefore w:val="0"/>
              <w:tabs>
                <w:tab w:val="left" w:pos="7013"/>
              </w:tabs>
              <w:kinsoku/>
              <w:wordWrap/>
              <w:overflowPunct/>
              <w:topLinePunct w:val="0"/>
              <w:autoSpaceDE/>
              <w:autoSpaceDN/>
              <w:bidi w:val="0"/>
              <w:adjustRightInd/>
              <w:spacing w:line="500" w:lineRule="exact"/>
              <w:rPr>
                <w:rFonts w:hint="eastAsia" w:ascii="仿宋" w:hAnsi="仿宋" w:eastAsia="仿宋" w:cs="仿宋"/>
                <w:color w:val="auto"/>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14.1</w:t>
            </w:r>
          </w:p>
        </w:tc>
        <w:tc>
          <w:tcPr>
            <w:tcW w:w="1907" w:type="dxa"/>
            <w:shd w:val="clear" w:color="auto" w:fill="auto"/>
            <w:vAlign w:val="center"/>
          </w:tcPr>
          <w:p>
            <w:pPr>
              <w:pStyle w:val="3"/>
              <w:keepNext w:val="0"/>
              <w:keepLines w:val="0"/>
              <w:pageBreakBefore w:val="0"/>
              <w:kinsoku/>
              <w:wordWrap/>
              <w:overflowPunct/>
              <w:topLinePunct w:val="0"/>
              <w:autoSpaceDE/>
              <w:autoSpaceDN/>
              <w:bidi w:val="0"/>
              <w:adjustRightInd/>
              <w:spacing w:before="0" w:beforeAutospacing="0" w:afterAutospacing="0" w:line="500" w:lineRule="exact"/>
              <w:ind w:left="0"/>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是否</w:t>
            </w:r>
            <w:r>
              <w:rPr>
                <w:rFonts w:hint="eastAsia" w:ascii="仿宋" w:hAnsi="仿宋" w:eastAsia="仿宋" w:cs="仿宋"/>
                <w:color w:val="auto"/>
                <w:kern w:val="0"/>
                <w:sz w:val="24"/>
                <w:szCs w:val="24"/>
                <w:highlight w:val="none"/>
              </w:rPr>
              <w:t>专门面向</w:t>
            </w:r>
          </w:p>
          <w:p>
            <w:pPr>
              <w:pStyle w:val="3"/>
              <w:keepNext w:val="0"/>
              <w:keepLines w:val="0"/>
              <w:pageBreakBefore w:val="0"/>
              <w:kinsoku/>
              <w:wordWrap/>
              <w:overflowPunct/>
              <w:topLinePunct w:val="0"/>
              <w:autoSpaceDE/>
              <w:autoSpaceDN/>
              <w:bidi w:val="0"/>
              <w:adjustRightInd/>
              <w:spacing w:before="0" w:beforeAutospacing="0" w:afterAutospacing="0" w:line="500" w:lineRule="exact"/>
              <w:ind w:left="0" w:leftChars="0"/>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0"/>
                <w:sz w:val="24"/>
                <w:szCs w:val="24"/>
                <w:highlight w:val="none"/>
              </w:rPr>
              <w:t>中小企业</w:t>
            </w:r>
          </w:p>
        </w:tc>
        <w:tc>
          <w:tcPr>
            <w:tcW w:w="6448" w:type="dxa"/>
            <w:shd w:val="clear" w:color="auto" w:fill="auto"/>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14.2</w:t>
            </w:r>
          </w:p>
        </w:tc>
        <w:tc>
          <w:tcPr>
            <w:tcW w:w="1907" w:type="dxa"/>
            <w:vAlign w:val="center"/>
          </w:tcPr>
          <w:p>
            <w:pPr>
              <w:keepNext w:val="0"/>
              <w:keepLines w:val="0"/>
              <w:pageBreakBefore w:val="0"/>
              <w:tabs>
                <w:tab w:val="left" w:pos="0"/>
              </w:tabs>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0"/>
                <w:sz w:val="24"/>
                <w:szCs w:val="24"/>
                <w:highlight w:val="none"/>
                <w:lang w:eastAsia="zh-CN"/>
              </w:rPr>
              <w:t>中小企业</w:t>
            </w:r>
          </w:p>
        </w:tc>
        <w:tc>
          <w:tcPr>
            <w:tcW w:w="6448"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highlight w:val="none"/>
                <w:lang w:val="en-US" w:eastAsia="zh-CN"/>
              </w:rPr>
              <w:t>中小企业判定依据：《中小企业划型标准规定》</w:t>
            </w:r>
            <w:r>
              <w:rPr>
                <w:rFonts w:hint="eastAsia" w:ascii="仿宋" w:hAnsi="仿宋" w:eastAsia="仿宋" w:cs="仿宋"/>
                <w:color w:val="auto"/>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500" w:lineRule="exact"/>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2.中小企业，是指在中华人民共和国境内依法设立，依据国务院批准的中小企业划分标准确定的中型企业、小型企业和微型企业，但与大企业的负责人为同一人，或者与大企业存在直接控股、管理关系的除外。</w:t>
            </w:r>
          </w:p>
          <w:p>
            <w:pPr>
              <w:keepNext w:val="0"/>
              <w:keepLines w:val="0"/>
              <w:pageBreakBefore w:val="0"/>
              <w:widowControl w:val="0"/>
              <w:kinsoku/>
              <w:wordWrap/>
              <w:overflowPunct/>
              <w:topLinePunct w:val="0"/>
              <w:autoSpaceDE/>
              <w:autoSpaceDN/>
              <w:bidi w:val="0"/>
              <w:adjustRightInd/>
              <w:snapToGrid/>
              <w:spacing w:beforeAutospacing="0" w:afterAutospacing="0" w:line="500" w:lineRule="exact"/>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3.符合中小企业划分标准的个体工商户，在政府采购活动中视同中小企业。符合条件的监狱企业、残疾人福利性单位视同小微企业，在参加政府采购活动时享受扶持政策。</w:t>
            </w:r>
          </w:p>
          <w:p>
            <w:pPr>
              <w:keepNext w:val="0"/>
              <w:keepLines w:val="0"/>
              <w:pageBreakBefore w:val="0"/>
              <w:widowControl w:val="0"/>
              <w:kinsoku/>
              <w:wordWrap/>
              <w:overflowPunct/>
              <w:topLinePunct w:val="0"/>
              <w:autoSpaceDE/>
              <w:autoSpaceDN/>
              <w:bidi w:val="0"/>
              <w:adjustRightInd/>
              <w:snapToGrid/>
              <w:spacing w:beforeAutospacing="0" w:afterAutospacing="0" w:line="500" w:lineRule="exact"/>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4.供应商提供《</w:t>
            </w:r>
            <w:r>
              <w:rPr>
                <w:rFonts w:hint="eastAsia" w:ascii="仿宋" w:hAnsi="仿宋" w:eastAsia="仿宋" w:cs="仿宋"/>
                <w:color w:val="auto"/>
                <w:kern w:val="0"/>
                <w:sz w:val="24"/>
                <w:highlight w:val="none"/>
                <w:lang w:val="en-US" w:eastAsia="zh-CN"/>
              </w:rPr>
              <w:t>中</w:t>
            </w:r>
            <w:r>
              <w:rPr>
                <w:rFonts w:hint="eastAsia" w:ascii="仿宋" w:hAnsi="仿宋" w:eastAsia="仿宋" w:cs="仿宋"/>
                <w:color w:val="auto"/>
                <w:kern w:val="0"/>
                <w:sz w:val="24"/>
                <w:highlight w:val="none"/>
              </w:rPr>
              <w:t>小企业</w:t>
            </w:r>
            <w:r>
              <w:rPr>
                <w:rFonts w:hint="eastAsia" w:ascii="仿宋" w:hAnsi="仿宋" w:eastAsia="仿宋" w:cs="仿宋"/>
                <w:color w:val="auto"/>
                <w:kern w:val="0"/>
                <w:sz w:val="24"/>
              </w:rPr>
              <w:t>声明函</w:t>
            </w:r>
            <w:r>
              <w:rPr>
                <w:rFonts w:hint="eastAsia" w:ascii="仿宋" w:hAnsi="仿宋" w:eastAsia="仿宋" w:cs="仿宋"/>
                <w:color w:val="auto"/>
                <w:sz w:val="24"/>
                <w:szCs w:val="24"/>
                <w:lang w:val="en-US" w:eastAsia="zh-CN"/>
              </w:rPr>
              <w:t>》（或《残疾人福利性单位声明函》、《监狱或戒毒企业声明函》），并对声明的真实性、准确性</w:t>
            </w:r>
            <w:r>
              <w:rPr>
                <w:rFonts w:hint="eastAsia" w:ascii="仿宋" w:hAnsi="仿宋" w:eastAsia="仿宋" w:cs="仿宋"/>
                <w:color w:val="auto"/>
                <w:kern w:val="0"/>
                <w:sz w:val="24"/>
                <w:lang w:val="en-US" w:eastAsia="zh-CN"/>
              </w:rPr>
              <w:t>、有效性</w:t>
            </w:r>
            <w:r>
              <w:rPr>
                <w:rFonts w:hint="eastAsia" w:ascii="仿宋" w:hAnsi="仿宋" w:eastAsia="仿宋" w:cs="仿宋"/>
                <w:color w:val="auto"/>
                <w:kern w:val="0"/>
                <w:sz w:val="24"/>
              </w:rPr>
              <w:t>负责</w:t>
            </w:r>
            <w:r>
              <w:rPr>
                <w:rFonts w:hint="eastAsia" w:ascii="仿宋" w:hAnsi="仿宋" w:eastAsia="仿宋" w:cs="仿宋"/>
                <w:color w:val="auto"/>
                <w:kern w:val="0"/>
                <w:sz w:val="24"/>
                <w:lang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500" w:lineRule="exact"/>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5.成交人提供的《</w:t>
            </w:r>
            <w:r>
              <w:rPr>
                <w:rFonts w:hint="eastAsia" w:ascii="仿宋" w:hAnsi="仿宋" w:eastAsia="仿宋" w:cs="仿宋"/>
                <w:color w:val="auto"/>
                <w:kern w:val="0"/>
                <w:sz w:val="24"/>
                <w:highlight w:val="none"/>
                <w:lang w:val="en-US" w:eastAsia="zh-CN"/>
              </w:rPr>
              <w:t>中</w:t>
            </w:r>
            <w:r>
              <w:rPr>
                <w:rFonts w:hint="eastAsia" w:ascii="仿宋" w:hAnsi="仿宋" w:eastAsia="仿宋" w:cs="仿宋"/>
                <w:color w:val="auto"/>
                <w:kern w:val="0"/>
                <w:sz w:val="24"/>
                <w:highlight w:val="none"/>
              </w:rPr>
              <w:t>小企业</w:t>
            </w:r>
            <w:r>
              <w:rPr>
                <w:rFonts w:hint="eastAsia" w:ascii="仿宋" w:hAnsi="仿宋" w:eastAsia="仿宋" w:cs="仿宋"/>
                <w:color w:val="auto"/>
                <w:kern w:val="0"/>
                <w:sz w:val="24"/>
              </w:rPr>
              <w:t>声明函</w:t>
            </w:r>
            <w:r>
              <w:rPr>
                <w:rFonts w:hint="eastAsia" w:ascii="仿宋" w:hAnsi="仿宋" w:eastAsia="仿宋" w:cs="仿宋"/>
                <w:color w:val="auto"/>
                <w:sz w:val="24"/>
                <w:szCs w:val="24"/>
                <w:lang w:val="en-US" w:eastAsia="zh-CN"/>
              </w:rPr>
              <w:t>》、《残疾人福利性单位声明函》、《监狱或戒毒企业声明函》随同成交结果公示，接受社会监督，若有不实，将承担经济和法律后果。</w:t>
            </w:r>
          </w:p>
          <w:p>
            <w:pPr>
              <w:keepNext w:val="0"/>
              <w:keepLines w:val="0"/>
              <w:pageBreakBefore w:val="0"/>
              <w:tabs>
                <w:tab w:val="left" w:pos="0"/>
              </w:tabs>
              <w:kinsoku/>
              <w:wordWrap/>
              <w:overflowPunct/>
              <w:topLinePunct w:val="0"/>
              <w:autoSpaceDE/>
              <w:autoSpaceDN/>
              <w:bidi w:val="0"/>
              <w:adjustRightInd/>
              <w:spacing w:line="500" w:lineRule="exact"/>
              <w:rPr>
                <w:rFonts w:hint="eastAsia" w:ascii="仿宋" w:hAnsi="仿宋" w:eastAsia="仿宋" w:cs="仿宋"/>
                <w:color w:val="auto"/>
                <w:sz w:val="24"/>
                <w:szCs w:val="24"/>
                <w:highlight w:val="none"/>
                <w:lang w:val="en-US" w:eastAsia="zh-CN"/>
              </w:rPr>
            </w:pPr>
            <w:r>
              <w:rPr>
                <w:rFonts w:hint="eastAsia" w:ascii="仿宋" w:hAnsi="仿宋" w:eastAsia="仿宋" w:cs="仿宋"/>
                <w:b w:val="0"/>
                <w:bCs w:val="0"/>
                <w:color w:val="auto"/>
                <w:sz w:val="24"/>
                <w:szCs w:val="24"/>
                <w:lang w:val="en-US" w:eastAsia="zh-CN"/>
              </w:rPr>
              <w:t>6.</w:t>
            </w:r>
            <w:r>
              <w:rPr>
                <w:rFonts w:hint="eastAsia" w:ascii="仿宋" w:hAnsi="仿宋" w:eastAsia="仿宋" w:cs="仿宋"/>
                <w:color w:val="auto"/>
                <w:sz w:val="24"/>
                <w:szCs w:val="24"/>
                <w:highlight w:val="none"/>
                <w:lang w:val="en-US" w:eastAsia="zh-CN"/>
              </w:rPr>
              <w:t>享受扶持政策获得政府采购合同的，小微企业不得将合同分包给大中型企业，中型企业不得将合同分包给大型企业。</w:t>
            </w:r>
          </w:p>
          <w:p>
            <w:pPr>
              <w:keepNext w:val="0"/>
              <w:keepLines w:val="0"/>
              <w:pageBreakBefore w:val="0"/>
              <w:tabs>
                <w:tab w:val="left" w:pos="0"/>
              </w:tabs>
              <w:kinsoku/>
              <w:wordWrap/>
              <w:overflowPunct/>
              <w:topLinePunct w:val="0"/>
              <w:autoSpaceDE/>
              <w:autoSpaceDN/>
              <w:bidi w:val="0"/>
              <w:adjustRightInd/>
              <w:spacing w:line="500" w:lineRule="exact"/>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highlight w:val="none"/>
                <w:lang w:val="en-US" w:eastAsia="zh-CN"/>
              </w:rPr>
              <w:t>7.发生纠纷时，</w:t>
            </w:r>
            <w:r>
              <w:rPr>
                <w:rFonts w:hint="eastAsia" w:ascii="仿宋" w:hAnsi="仿宋" w:eastAsia="仿宋" w:cs="仿宋"/>
                <w:color w:val="auto"/>
                <w:sz w:val="24"/>
                <w:szCs w:val="24"/>
                <w:highlight w:val="none"/>
              </w:rPr>
              <w:t>对中小企业的</w:t>
            </w:r>
            <w:r>
              <w:rPr>
                <w:rFonts w:hint="eastAsia" w:ascii="仿宋" w:hAnsi="仿宋" w:eastAsia="仿宋" w:cs="仿宋"/>
                <w:color w:val="auto"/>
                <w:sz w:val="24"/>
                <w:szCs w:val="24"/>
                <w:highlight w:val="none"/>
                <w:lang w:val="en-US" w:eastAsia="zh-CN"/>
              </w:rPr>
              <w:t>最终</w:t>
            </w:r>
            <w:r>
              <w:rPr>
                <w:rFonts w:hint="eastAsia" w:ascii="仿宋" w:hAnsi="仿宋" w:eastAsia="仿宋" w:cs="仿宋"/>
                <w:color w:val="auto"/>
                <w:sz w:val="24"/>
                <w:szCs w:val="24"/>
                <w:highlight w:val="none"/>
              </w:rPr>
              <w:t>认定，由</w:t>
            </w:r>
            <w:r>
              <w:rPr>
                <w:rFonts w:hint="eastAsia" w:ascii="仿宋" w:hAnsi="仿宋" w:eastAsia="仿宋" w:cs="仿宋"/>
                <w:color w:val="auto"/>
                <w:sz w:val="24"/>
                <w:szCs w:val="24"/>
                <w:highlight w:val="none"/>
                <w:lang w:val="en-US" w:eastAsia="zh-CN"/>
              </w:rPr>
              <w:t>磋商企业</w:t>
            </w:r>
            <w:r>
              <w:rPr>
                <w:rFonts w:hint="eastAsia" w:ascii="仿宋" w:hAnsi="仿宋" w:eastAsia="仿宋" w:cs="仿宋"/>
                <w:color w:val="auto"/>
                <w:sz w:val="24"/>
                <w:szCs w:val="24"/>
                <w:highlight w:val="none"/>
              </w:rPr>
              <w:t>注册登记所在地的县级以上人民政府中小企业主管部门负责。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14.3</w:t>
            </w:r>
          </w:p>
        </w:tc>
        <w:tc>
          <w:tcPr>
            <w:tcW w:w="1907" w:type="dxa"/>
            <w:vAlign w:val="center"/>
          </w:tcPr>
          <w:p>
            <w:pPr>
              <w:pStyle w:val="3"/>
              <w:keepNext w:val="0"/>
              <w:keepLines w:val="0"/>
              <w:pageBreakBefore w:val="0"/>
              <w:widowControl w:val="0"/>
              <w:kinsoku/>
              <w:wordWrap/>
              <w:overflowPunct/>
              <w:topLinePunct w:val="0"/>
              <w:autoSpaceDE/>
              <w:autoSpaceDN/>
              <w:bidi w:val="0"/>
              <w:adjustRightInd/>
              <w:snapToGrid/>
              <w:spacing w:before="0" w:beforeAutospacing="0" w:afterAutospacing="0" w:line="500" w:lineRule="exact"/>
              <w:ind w:left="0" w:leftChars="0"/>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中小企业</w:t>
            </w:r>
          </w:p>
          <w:p>
            <w:pPr>
              <w:pStyle w:val="3"/>
              <w:keepNext w:val="0"/>
              <w:keepLines w:val="0"/>
              <w:pageBreakBefore w:val="0"/>
              <w:widowControl w:val="0"/>
              <w:kinsoku/>
              <w:wordWrap/>
              <w:overflowPunct/>
              <w:topLinePunct w:val="0"/>
              <w:autoSpaceDE/>
              <w:autoSpaceDN/>
              <w:bidi w:val="0"/>
              <w:adjustRightInd/>
              <w:snapToGrid/>
              <w:spacing w:before="0" w:beforeAutospacing="0" w:afterAutospacing="0" w:line="500" w:lineRule="exact"/>
              <w:ind w:left="0" w:leftChars="0"/>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划型标准</w:t>
            </w:r>
          </w:p>
        </w:tc>
        <w:tc>
          <w:tcPr>
            <w:tcW w:w="6448" w:type="dxa"/>
            <w:vAlign w:val="center"/>
          </w:tcPr>
          <w:p>
            <w:pPr>
              <w:pStyle w:val="3"/>
              <w:keepNext w:val="0"/>
              <w:keepLines w:val="0"/>
              <w:pageBreakBefore w:val="0"/>
              <w:widowControl w:val="0"/>
              <w:kinsoku/>
              <w:wordWrap/>
              <w:overflowPunct/>
              <w:topLinePunct w:val="0"/>
              <w:autoSpaceDE/>
              <w:autoSpaceDN/>
              <w:bidi w:val="0"/>
              <w:adjustRightInd/>
              <w:snapToGrid/>
              <w:spacing w:before="0" w:beforeAutospacing="0" w:afterAutospacing="0" w:line="500" w:lineRule="exact"/>
              <w:ind w:left="0" w:leftChars="0"/>
              <w:jc w:val="both"/>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b/>
                <w:bCs/>
                <w:color w:val="auto"/>
                <w:kern w:val="2"/>
                <w:sz w:val="24"/>
                <w:szCs w:val="24"/>
                <w:highlight w:val="none"/>
                <w:lang w:val="en-US" w:eastAsia="zh-CN" w:bidi="ar-SA"/>
              </w:rPr>
              <w:t>1.本项目所属行业：</w:t>
            </w:r>
            <w:r>
              <w:rPr>
                <w:rFonts w:hint="eastAsia" w:ascii="仿宋" w:hAnsi="仿宋" w:eastAsia="仿宋" w:cs="仿宋"/>
                <w:color w:val="auto"/>
                <w:kern w:val="2"/>
                <w:sz w:val="24"/>
                <w:szCs w:val="24"/>
                <w:highlight w:val="none"/>
                <w:lang w:val="en-US" w:eastAsia="zh-CN" w:bidi="ar-SA"/>
              </w:rPr>
              <w:t>其他未列明行业</w:t>
            </w:r>
          </w:p>
          <w:p>
            <w:pPr>
              <w:pStyle w:val="5"/>
              <w:keepNext w:val="0"/>
              <w:keepLines w:val="0"/>
              <w:pageBreakBefore w:val="0"/>
              <w:kinsoku/>
              <w:wordWrap/>
              <w:overflowPunct/>
              <w:topLinePunct w:val="0"/>
              <w:autoSpaceDE/>
              <w:autoSpaceDN/>
              <w:bidi w:val="0"/>
              <w:adjustRightInd/>
              <w:snapToGrid/>
              <w:spacing w:beforeAutospacing="0" w:afterAutospacing="0" w:line="500" w:lineRule="exact"/>
              <w:ind w:left="0" w:leftChars="0" w:firstLine="0" w:firstLineChars="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b/>
                <w:bCs/>
                <w:color w:val="auto"/>
                <w:kern w:val="2"/>
                <w:sz w:val="24"/>
                <w:szCs w:val="24"/>
                <w:highlight w:val="none"/>
                <w:lang w:val="en-US" w:eastAsia="zh-CN" w:bidi="ar-SA"/>
              </w:rPr>
              <w:t>2.划型标准</w:t>
            </w:r>
            <w:r>
              <w:rPr>
                <w:rFonts w:hint="eastAsia" w:ascii="仿宋" w:hAnsi="仿宋" w:eastAsia="仿宋" w:cs="仿宋"/>
                <w:color w:val="auto"/>
                <w:kern w:val="2"/>
                <w:sz w:val="24"/>
                <w:szCs w:val="24"/>
                <w:highlight w:val="none"/>
                <w:lang w:val="en-US" w:eastAsia="zh-CN" w:bidi="ar-SA"/>
              </w:rPr>
              <w:t>：1）从业人员≥300人，为大型企业；2）100人≤从业人员＜300人，为中型企业；3）10人≤从业人员＜100人，为小型企业；4）从业人员＜10人以下，为微型企业。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14.4</w:t>
            </w:r>
          </w:p>
        </w:tc>
        <w:tc>
          <w:tcPr>
            <w:tcW w:w="1907" w:type="dxa"/>
            <w:vAlign w:val="center"/>
          </w:tcPr>
          <w:p>
            <w:pPr>
              <w:pStyle w:val="3"/>
              <w:keepNext w:val="0"/>
              <w:keepLines w:val="0"/>
              <w:pageBreakBefore w:val="0"/>
              <w:kinsoku/>
              <w:wordWrap/>
              <w:overflowPunct/>
              <w:topLinePunct w:val="0"/>
              <w:autoSpaceDE/>
              <w:autoSpaceDN/>
              <w:bidi w:val="0"/>
              <w:adjustRightInd/>
              <w:spacing w:before="0" w:beforeAutospacing="0" w:afterAutospacing="0" w:line="500" w:lineRule="exact"/>
              <w:ind w:left="0" w:leftChars="0"/>
              <w:jc w:val="center"/>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rPr>
              <w:t>中小企业声明函填写说明</w:t>
            </w:r>
          </w:p>
        </w:tc>
        <w:tc>
          <w:tcPr>
            <w:tcW w:w="644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both"/>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strike w:val="0"/>
                <w:dstrike w:val="0"/>
                <w:color w:val="auto"/>
                <w:sz w:val="24"/>
                <w:szCs w:val="24"/>
                <w:highlight w:val="none"/>
                <w:lang w:val="en-US" w:eastAsia="zh-CN"/>
              </w:rPr>
              <w:t>从</w:t>
            </w:r>
            <w:r>
              <w:rPr>
                <w:rFonts w:hint="eastAsia" w:ascii="仿宋" w:hAnsi="仿宋" w:eastAsia="仿宋" w:cs="仿宋"/>
                <w:strike w:val="0"/>
                <w:dstrike w:val="0"/>
                <w:color w:val="auto"/>
                <w:sz w:val="24"/>
                <w:szCs w:val="24"/>
                <w:highlight w:val="none"/>
              </w:rPr>
              <w:t>业人员、营业收入、资产总额</w:t>
            </w:r>
            <w:r>
              <w:rPr>
                <w:rFonts w:hint="eastAsia" w:ascii="仿宋" w:hAnsi="仿宋" w:eastAsia="仿宋" w:cs="仿宋"/>
                <w:strike w:val="0"/>
                <w:dstrike w:val="0"/>
                <w:color w:val="auto"/>
                <w:sz w:val="24"/>
                <w:szCs w:val="24"/>
                <w:highlight w:val="none"/>
                <w:lang w:val="en-US" w:eastAsia="zh-CN"/>
              </w:rPr>
              <w:t>：以参加本采购活动的上年年末数字为准（或全年平均数字），</w:t>
            </w:r>
            <w:r>
              <w:rPr>
                <w:rFonts w:hint="eastAsia" w:ascii="仿宋" w:hAnsi="仿宋" w:eastAsia="仿宋" w:cs="仿宋"/>
                <w:strike w:val="0"/>
                <w:dstrike w:val="0"/>
                <w:color w:val="auto"/>
                <w:sz w:val="24"/>
                <w:szCs w:val="24"/>
                <w:highlight w:val="none"/>
              </w:rPr>
              <w:t>无上一年度数据的新成立企业可不填报</w:t>
            </w:r>
            <w:r>
              <w:rPr>
                <w:rFonts w:hint="eastAsia" w:ascii="仿宋" w:hAnsi="仿宋" w:eastAsia="仿宋" w:cs="仿宋"/>
                <w:strike w:val="0"/>
                <w:dstrike w:val="0"/>
                <w:color w:val="auto"/>
                <w:sz w:val="24"/>
                <w:szCs w:val="24"/>
                <w:highlight w:val="none"/>
                <w:lang w:val="en-US" w:eastAsia="zh-CN"/>
              </w:rPr>
              <w:t>（须提供有效印证材料）。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14.5</w:t>
            </w:r>
          </w:p>
        </w:tc>
        <w:tc>
          <w:tcPr>
            <w:tcW w:w="1907" w:type="dxa"/>
            <w:vAlign w:val="center"/>
          </w:tcPr>
          <w:p>
            <w:pPr>
              <w:pStyle w:val="3"/>
              <w:keepNext w:val="0"/>
              <w:keepLines w:val="0"/>
              <w:pageBreakBefore w:val="0"/>
              <w:kinsoku/>
              <w:wordWrap/>
              <w:overflowPunct/>
              <w:topLinePunct w:val="0"/>
              <w:autoSpaceDE/>
              <w:autoSpaceDN/>
              <w:bidi w:val="0"/>
              <w:adjustRightInd/>
              <w:spacing w:before="0" w:beforeAutospacing="0" w:afterAutospacing="0" w:line="500" w:lineRule="exact"/>
              <w:ind w:left="0" w:leftChars="0"/>
              <w:jc w:val="center"/>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声明函澄清、</w:t>
            </w:r>
          </w:p>
          <w:p>
            <w:pPr>
              <w:pStyle w:val="3"/>
              <w:keepNext w:val="0"/>
              <w:keepLines w:val="0"/>
              <w:pageBreakBefore w:val="0"/>
              <w:kinsoku/>
              <w:wordWrap/>
              <w:overflowPunct/>
              <w:topLinePunct w:val="0"/>
              <w:autoSpaceDE/>
              <w:autoSpaceDN/>
              <w:bidi w:val="0"/>
              <w:adjustRightInd/>
              <w:spacing w:before="0" w:beforeAutospacing="0" w:afterAutospacing="0" w:line="500" w:lineRule="exact"/>
              <w:ind w:left="0" w:leftChars="0"/>
              <w:jc w:val="center"/>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rPr>
              <w:t>修正</w:t>
            </w:r>
          </w:p>
        </w:tc>
        <w:tc>
          <w:tcPr>
            <w:tcW w:w="644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00" w:lineRule="exact"/>
              <w:ind w:left="0" w:leftChars="0" w:firstLine="0" w:firstLineChars="0"/>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声明函中存在明显笔误、划</w:t>
            </w:r>
            <w:r>
              <w:rPr>
                <w:rFonts w:hint="default" w:ascii="仿宋" w:hAnsi="仿宋" w:eastAsia="仿宋" w:cs="仿宋"/>
                <w:color w:val="auto"/>
                <w:sz w:val="24"/>
                <w:szCs w:val="24"/>
                <w:lang w:val="en-US" w:eastAsia="zh-CN"/>
              </w:rPr>
              <w:t>型</w:t>
            </w:r>
            <w:r>
              <w:rPr>
                <w:rFonts w:hint="eastAsia" w:ascii="仿宋" w:hAnsi="仿宋" w:eastAsia="仿宋" w:cs="仿宋"/>
                <w:color w:val="auto"/>
                <w:sz w:val="24"/>
                <w:szCs w:val="24"/>
                <w:lang w:val="en-US" w:eastAsia="zh-CN"/>
              </w:rPr>
              <w:t>错误、同一内容前后不一致等无主观故意为之的</w:t>
            </w:r>
            <w:r>
              <w:rPr>
                <w:rFonts w:hint="default" w:ascii="仿宋" w:hAnsi="仿宋" w:eastAsia="仿宋" w:cs="仿宋"/>
                <w:color w:val="auto"/>
                <w:sz w:val="24"/>
                <w:szCs w:val="24"/>
                <w:lang w:val="en-US" w:eastAsia="zh-CN"/>
              </w:rPr>
              <w:t>情</w:t>
            </w:r>
            <w:r>
              <w:rPr>
                <w:rFonts w:hint="eastAsia" w:ascii="仿宋" w:hAnsi="仿宋" w:eastAsia="仿宋" w:cs="仿宋"/>
                <w:color w:val="auto"/>
                <w:sz w:val="24"/>
                <w:szCs w:val="24"/>
                <w:lang w:val="en-US" w:eastAsia="zh-CN"/>
              </w:rPr>
              <w:t>形，磋商小组可要求供应商予以澄清，澄清后符合中小企业条件的，该声明函有效，否则无效，不享受价格优惠。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15</w:t>
            </w:r>
          </w:p>
        </w:tc>
        <w:tc>
          <w:tcPr>
            <w:tcW w:w="1907" w:type="dxa"/>
            <w:tcBorders>
              <w:right w:val="nil"/>
            </w:tcBorders>
            <w:vAlign w:val="center"/>
          </w:tcPr>
          <w:p>
            <w:pPr>
              <w:keepNext w:val="0"/>
              <w:keepLines w:val="0"/>
              <w:pageBreakBefore w:val="0"/>
              <w:kinsoku/>
              <w:wordWrap/>
              <w:overflowPunct/>
              <w:topLinePunct w:val="0"/>
              <w:autoSpaceDE/>
              <w:autoSpaceDN/>
              <w:bidi w:val="0"/>
              <w:adjustRightInd/>
              <w:spacing w:line="500" w:lineRule="exact"/>
              <w:jc w:val="center"/>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highlight w:val="none"/>
                <w:lang w:val="en-US" w:eastAsia="zh-CN"/>
              </w:rPr>
              <w:t>合同</w:t>
            </w:r>
          </w:p>
        </w:tc>
        <w:tc>
          <w:tcPr>
            <w:tcW w:w="6448" w:type="dxa"/>
            <w:tcBorders>
              <w:left w:val="nil"/>
            </w:tcBorders>
            <w:vAlign w:val="center"/>
          </w:tcPr>
          <w:p>
            <w:pPr>
              <w:keepNext w:val="0"/>
              <w:keepLines w:val="0"/>
              <w:pageBreakBefore w:val="0"/>
              <w:tabs>
                <w:tab w:val="left" w:pos="7013"/>
              </w:tabs>
              <w:kinsoku/>
              <w:wordWrap/>
              <w:overflowPunct/>
              <w:topLinePunct w:val="0"/>
              <w:autoSpaceDE/>
              <w:autoSpaceDN/>
              <w:bidi w:val="0"/>
              <w:adjustRightInd/>
              <w:spacing w:line="500" w:lineRule="exact"/>
              <w:rPr>
                <w:rFonts w:hint="eastAsia" w:ascii="仿宋" w:hAnsi="仿宋" w:eastAsia="仿宋" w:cs="仿宋"/>
                <w:color w:val="auto"/>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15.1</w:t>
            </w:r>
          </w:p>
        </w:tc>
        <w:tc>
          <w:tcPr>
            <w:tcW w:w="1907"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合同类型</w:t>
            </w:r>
          </w:p>
        </w:tc>
        <w:tc>
          <w:tcPr>
            <w:tcW w:w="6448" w:type="dxa"/>
            <w:vAlign w:val="center"/>
          </w:tcPr>
          <w:p>
            <w:pPr>
              <w:keepNext w:val="0"/>
              <w:keepLines w:val="0"/>
              <w:pageBreakBefore w:val="0"/>
              <w:numPr>
                <w:ilvl w:val="0"/>
                <w:numId w:val="0"/>
              </w:numPr>
              <w:kinsoku/>
              <w:wordWrap/>
              <w:overflowPunct/>
              <w:topLinePunct w:val="0"/>
              <w:autoSpaceDE/>
              <w:autoSpaceDN/>
              <w:bidi w:val="0"/>
              <w:adjustRightInd/>
              <w:spacing w:beforeAutospacing="0" w:afterAutospacing="0" w:line="500" w:lineRule="exact"/>
              <w:ind w:left="0" w:leftChars="0" w:firstLine="0" w:firstLineChars="0"/>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固定总价合同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15.2</w:t>
            </w:r>
          </w:p>
        </w:tc>
        <w:tc>
          <w:tcPr>
            <w:tcW w:w="1907" w:type="dxa"/>
            <w:vAlign w:val="center"/>
          </w:tcPr>
          <w:p>
            <w:pPr>
              <w:pStyle w:val="3"/>
              <w:keepNext w:val="0"/>
              <w:keepLines w:val="0"/>
              <w:pageBreakBefore w:val="0"/>
              <w:kinsoku/>
              <w:wordWrap/>
              <w:overflowPunct/>
              <w:topLinePunct w:val="0"/>
              <w:autoSpaceDE/>
              <w:autoSpaceDN/>
              <w:bidi w:val="0"/>
              <w:adjustRightInd/>
              <w:spacing w:before="0" w:beforeAutospacing="0" w:afterAutospacing="0" w:line="50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合同分包、转包</w:t>
            </w:r>
          </w:p>
        </w:tc>
        <w:tc>
          <w:tcPr>
            <w:tcW w:w="6448" w:type="dxa"/>
            <w:vAlign w:val="center"/>
          </w:tcPr>
          <w:p>
            <w:pPr>
              <w:keepNext w:val="0"/>
              <w:keepLines w:val="0"/>
              <w:pageBreakBefore w:val="0"/>
              <w:numPr>
                <w:ilvl w:val="0"/>
                <w:numId w:val="0"/>
              </w:numPr>
              <w:kinsoku/>
              <w:wordWrap/>
              <w:overflowPunct/>
              <w:topLinePunct w:val="0"/>
              <w:autoSpaceDE/>
              <w:autoSpaceDN/>
              <w:bidi w:val="0"/>
              <w:adjustRightInd/>
              <w:spacing w:line="500" w:lineRule="exact"/>
              <w:ind w:left="0" w:leftChars="0" w:firstLine="0" w:firstLineChars="0"/>
              <w:rPr>
                <w:rFonts w:hint="eastAsia" w:ascii="仿宋" w:hAnsi="仿宋" w:eastAsia="仿宋" w:cs="仿宋"/>
                <w:color w:val="auto"/>
                <w:sz w:val="24"/>
                <w:szCs w:val="24"/>
                <w:lang w:val="en-US" w:eastAsia="zh-CN"/>
              </w:rPr>
            </w:pPr>
            <w:r>
              <w:rPr>
                <w:rFonts w:hint="eastAsia" w:ascii="仿宋" w:hAnsi="仿宋" w:eastAsia="仿宋" w:cs="仿宋"/>
                <w:color w:val="auto"/>
                <w:kern w:val="0"/>
                <w:sz w:val="24"/>
                <w:szCs w:val="24"/>
                <w:lang w:val="en-US" w:eastAsia="zh-CN"/>
              </w:rPr>
              <w:t>不允许</w:t>
            </w:r>
            <w:r>
              <w:rPr>
                <w:rFonts w:hint="eastAsia" w:ascii="仿宋" w:hAnsi="仿宋" w:eastAsia="仿宋" w:cs="仿宋"/>
                <w:color w:val="auto"/>
                <w:sz w:val="24"/>
                <w:szCs w:val="24"/>
                <w:lang w:val="en-US" w:eastAsia="zh-CN"/>
              </w:rPr>
              <w:t>；</w:t>
            </w:r>
          </w:p>
          <w:p>
            <w:pPr>
              <w:keepNext w:val="0"/>
              <w:keepLines w:val="0"/>
              <w:pageBreakBefore w:val="0"/>
              <w:widowControl/>
              <w:kinsoku/>
              <w:wordWrap/>
              <w:overflowPunct/>
              <w:topLinePunct w:val="0"/>
              <w:autoSpaceDE/>
              <w:autoSpaceDN/>
              <w:bidi w:val="0"/>
              <w:adjustRightInd/>
              <w:spacing w:line="500" w:lineRule="exact"/>
              <w:rPr>
                <w:rFonts w:hint="eastAsia" w:ascii="仿宋" w:hAnsi="仿宋" w:eastAsia="仿宋" w:cs="仿宋"/>
                <w:color w:val="auto"/>
                <w:kern w:val="2"/>
                <w:sz w:val="24"/>
                <w:szCs w:val="24"/>
                <w:lang w:val="en-US" w:eastAsia="zh-CN" w:bidi="ar-SA"/>
              </w:rPr>
            </w:pPr>
            <w:r>
              <w:rPr>
                <w:rFonts w:hint="eastAsia" w:ascii="仿宋" w:hAnsi="仿宋" w:eastAsia="仿宋" w:cs="仿宋"/>
                <w:bCs/>
                <w:color w:val="auto"/>
                <w:sz w:val="24"/>
                <w:szCs w:val="24"/>
                <w:lang w:val="en-US" w:eastAsia="zh-CN"/>
              </w:rPr>
              <w:t>提示：</w:t>
            </w:r>
            <w:r>
              <w:rPr>
                <w:rFonts w:hint="eastAsia" w:ascii="仿宋" w:hAnsi="仿宋" w:eastAsia="仿宋" w:cs="仿宋"/>
                <w:color w:val="auto"/>
                <w:kern w:val="0"/>
                <w:sz w:val="24"/>
                <w:szCs w:val="24"/>
              </w:rPr>
              <w:t>中小企业根据《政府采购促进中小企业发展管办法》（财库〔2020〕46号）规定的政策获取政府采购合同后，小型、微型企业不得分包或转包给大型、中型企业，中型企业不得分包或转包给大型企业。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15.3</w:t>
            </w:r>
          </w:p>
        </w:tc>
        <w:tc>
          <w:tcPr>
            <w:tcW w:w="1907"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合同争议及违约</w:t>
            </w:r>
          </w:p>
        </w:tc>
        <w:tc>
          <w:tcPr>
            <w:tcW w:w="6448" w:type="dxa"/>
            <w:vAlign w:val="center"/>
          </w:tcPr>
          <w:p>
            <w:pPr>
              <w:keepNext w:val="0"/>
              <w:keepLines w:val="0"/>
              <w:pageBreakBefore w:val="0"/>
              <w:numPr>
                <w:ilvl w:val="0"/>
                <w:numId w:val="0"/>
              </w:numPr>
              <w:kinsoku/>
              <w:wordWrap/>
              <w:overflowPunct/>
              <w:topLinePunct w:val="0"/>
              <w:autoSpaceDE/>
              <w:autoSpaceDN/>
              <w:bidi w:val="0"/>
              <w:adjustRightInd/>
              <w:spacing w:beforeAutospacing="0" w:afterAutospacing="0" w:line="500" w:lineRule="exact"/>
              <w:ind w:left="0" w:leftChars="0" w:firstLine="0" w:firstLineChars="0"/>
              <w:rPr>
                <w:rFonts w:hint="eastAsia" w:ascii="仿宋" w:hAnsi="仿宋" w:eastAsia="仿宋" w:cs="仿宋"/>
                <w:bCs/>
                <w:color w:val="auto"/>
                <w:kern w:val="2"/>
                <w:sz w:val="24"/>
                <w:szCs w:val="24"/>
                <w:lang w:val="en-US" w:eastAsia="zh-CN" w:bidi="ar-SA"/>
              </w:rPr>
            </w:pPr>
            <w:r>
              <w:rPr>
                <w:rFonts w:hint="eastAsia" w:ascii="仿宋" w:hAnsi="仿宋" w:eastAsia="仿宋" w:cs="仿宋"/>
                <w:bCs/>
                <w:color w:val="auto"/>
                <w:sz w:val="24"/>
                <w:szCs w:val="24"/>
                <w:lang w:val="en-US" w:eastAsia="zh-CN"/>
              </w:rPr>
              <w:t>按本项目采购合同、《民法典》等相关规定执行。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16</w:t>
            </w:r>
          </w:p>
        </w:tc>
        <w:tc>
          <w:tcPr>
            <w:tcW w:w="1907"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b w:val="0"/>
                <w:bCs w:val="0"/>
                <w:color w:val="auto"/>
                <w:kern w:val="0"/>
                <w:sz w:val="24"/>
                <w:szCs w:val="24"/>
                <w:highlight w:val="yellow"/>
                <w:lang w:val="en-US" w:eastAsia="zh-CN" w:bidi="ar-SA"/>
              </w:rPr>
            </w:pPr>
            <w:r>
              <w:rPr>
                <w:rFonts w:hint="eastAsia" w:ascii="仿宋" w:hAnsi="仿宋" w:eastAsia="仿宋" w:cs="仿宋"/>
                <w:color w:val="auto"/>
                <w:sz w:val="24"/>
                <w:szCs w:val="24"/>
              </w:rPr>
              <w:t>无效</w:t>
            </w:r>
            <w:r>
              <w:rPr>
                <w:rFonts w:hint="eastAsia" w:ascii="仿宋" w:hAnsi="仿宋" w:eastAsia="仿宋" w:cs="仿宋"/>
                <w:color w:val="auto"/>
                <w:sz w:val="24"/>
                <w:szCs w:val="24"/>
                <w:lang w:val="en-US" w:eastAsia="zh-CN"/>
              </w:rPr>
              <w:t>响应</w:t>
            </w:r>
          </w:p>
        </w:tc>
        <w:tc>
          <w:tcPr>
            <w:tcW w:w="6448"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响应文件出现下列情形之一为无效响应：</w:t>
            </w:r>
          </w:p>
          <w:p>
            <w:pPr>
              <w:keepNext w:val="0"/>
              <w:keepLines w:val="0"/>
              <w:pageBreakBefore w:val="0"/>
              <w:kinsoku/>
              <w:wordWrap/>
              <w:overflowPunct/>
              <w:topLinePunct w:val="0"/>
              <w:autoSpaceDE/>
              <w:autoSpaceDN/>
              <w:bidi w:val="0"/>
              <w:adjustRightInd/>
              <w:spacing w:beforeAutospacing="0" w:afterAutospacing="0" w:line="500" w:lineRule="exact"/>
              <w:rPr>
                <w:rFonts w:hint="eastAsia" w:ascii="仿宋" w:hAnsi="仿宋" w:eastAsia="仿宋" w:cs="仿宋"/>
                <w:color w:val="auto"/>
                <w:sz w:val="24"/>
                <w:szCs w:val="24"/>
              </w:rPr>
            </w:pPr>
            <w:r>
              <w:rPr>
                <w:rFonts w:hint="eastAsia" w:ascii="仿宋" w:hAnsi="仿宋" w:eastAsia="仿宋" w:cs="仿宋"/>
                <w:color w:val="auto"/>
                <w:sz w:val="24"/>
                <w:szCs w:val="24"/>
              </w:rPr>
              <w:t>1.未通过资格审查。</w:t>
            </w:r>
          </w:p>
          <w:p>
            <w:pPr>
              <w:keepNext w:val="0"/>
              <w:keepLines w:val="0"/>
              <w:pageBreakBefore w:val="0"/>
              <w:kinsoku/>
              <w:wordWrap/>
              <w:overflowPunct/>
              <w:topLinePunct w:val="0"/>
              <w:autoSpaceDE/>
              <w:autoSpaceDN/>
              <w:bidi w:val="0"/>
              <w:adjustRightInd/>
              <w:spacing w:beforeAutospacing="0" w:afterAutospacing="0" w:line="500" w:lineRule="exact"/>
              <w:rPr>
                <w:rFonts w:hint="eastAsia" w:ascii="仿宋" w:hAnsi="仿宋" w:eastAsia="仿宋" w:cs="仿宋"/>
                <w:color w:val="auto"/>
                <w:sz w:val="24"/>
                <w:szCs w:val="24"/>
              </w:rPr>
            </w:pPr>
            <w:r>
              <w:rPr>
                <w:rFonts w:hint="eastAsia" w:ascii="仿宋" w:hAnsi="仿宋" w:eastAsia="仿宋" w:cs="仿宋"/>
                <w:color w:val="auto"/>
                <w:sz w:val="24"/>
                <w:szCs w:val="24"/>
              </w:rPr>
              <w:t>2.未通过</w:t>
            </w:r>
            <w:r>
              <w:rPr>
                <w:rFonts w:hint="eastAsia" w:ascii="仿宋" w:hAnsi="仿宋" w:eastAsia="仿宋" w:cs="仿宋"/>
                <w:strike w:val="0"/>
                <w:dstrike w:val="0"/>
                <w:color w:val="auto"/>
                <w:sz w:val="24"/>
                <w:szCs w:val="24"/>
                <w:lang w:val="en-US" w:eastAsia="zh-CN"/>
              </w:rPr>
              <w:t>符合性</w:t>
            </w:r>
            <w:r>
              <w:rPr>
                <w:rFonts w:hint="eastAsia" w:ascii="仿宋" w:hAnsi="仿宋" w:eastAsia="仿宋" w:cs="仿宋"/>
                <w:color w:val="auto"/>
                <w:sz w:val="24"/>
                <w:szCs w:val="24"/>
                <w:lang w:val="en-US" w:eastAsia="zh-CN"/>
              </w:rPr>
              <w:t>审查</w:t>
            </w:r>
            <w:r>
              <w:rPr>
                <w:rFonts w:hint="eastAsia" w:ascii="仿宋" w:hAnsi="仿宋" w:eastAsia="仿宋" w:cs="仿宋"/>
                <w:color w:val="auto"/>
                <w:sz w:val="24"/>
                <w:szCs w:val="24"/>
              </w:rPr>
              <w:t>。</w:t>
            </w:r>
          </w:p>
          <w:p>
            <w:pPr>
              <w:keepNext w:val="0"/>
              <w:keepLines w:val="0"/>
              <w:pageBreakBefore w:val="0"/>
              <w:kinsoku/>
              <w:wordWrap/>
              <w:overflowPunct/>
              <w:topLinePunct w:val="0"/>
              <w:autoSpaceDE/>
              <w:autoSpaceDN/>
              <w:bidi w:val="0"/>
              <w:adjustRightInd/>
              <w:spacing w:beforeAutospacing="0" w:afterAutospacing="0" w:line="500" w:lineRule="exact"/>
              <w:rPr>
                <w:rFonts w:hint="eastAsia" w:ascii="仿宋" w:hAnsi="仿宋" w:eastAsia="仿宋" w:cs="仿宋"/>
                <w:color w:val="auto"/>
                <w:sz w:val="24"/>
                <w:szCs w:val="24"/>
              </w:rPr>
            </w:pPr>
            <w:r>
              <w:rPr>
                <w:rFonts w:hint="eastAsia" w:ascii="仿宋" w:hAnsi="仿宋" w:eastAsia="仿宋" w:cs="仿宋"/>
                <w:color w:val="auto"/>
                <w:sz w:val="24"/>
                <w:szCs w:val="24"/>
              </w:rPr>
              <w:t>3.</w:t>
            </w:r>
            <w:r>
              <w:rPr>
                <w:rFonts w:hint="eastAsia" w:ascii="仿宋" w:hAnsi="仿宋" w:eastAsia="仿宋" w:cs="仿宋"/>
                <w:color w:val="auto"/>
                <w:sz w:val="24"/>
                <w:szCs w:val="24"/>
                <w:lang w:val="en-US" w:eastAsia="zh-CN"/>
              </w:rPr>
              <w:t>有弄</w:t>
            </w:r>
            <w:r>
              <w:rPr>
                <w:rFonts w:hint="eastAsia" w:ascii="仿宋" w:hAnsi="仿宋" w:eastAsia="仿宋" w:cs="仿宋"/>
                <w:color w:val="auto"/>
                <w:sz w:val="24"/>
                <w:szCs w:val="24"/>
              </w:rPr>
              <w:t>虚</w:t>
            </w:r>
            <w:r>
              <w:rPr>
                <w:rFonts w:hint="eastAsia" w:ascii="仿宋" w:hAnsi="仿宋" w:eastAsia="仿宋" w:cs="仿宋"/>
                <w:color w:val="auto"/>
                <w:sz w:val="24"/>
                <w:szCs w:val="24"/>
                <w:lang w:val="en-US" w:eastAsia="zh-CN"/>
              </w:rPr>
              <w:t>作</w:t>
            </w:r>
            <w:r>
              <w:rPr>
                <w:rFonts w:hint="eastAsia" w:ascii="仿宋" w:hAnsi="仿宋" w:eastAsia="仿宋" w:cs="仿宋"/>
                <w:color w:val="auto"/>
                <w:sz w:val="24"/>
                <w:szCs w:val="24"/>
              </w:rPr>
              <w:t>假</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串标围标等违法违规行为的</w:t>
            </w:r>
            <w:r>
              <w:rPr>
                <w:rFonts w:hint="eastAsia" w:ascii="仿宋" w:hAnsi="仿宋" w:eastAsia="仿宋" w:cs="仿宋"/>
                <w:color w:val="auto"/>
                <w:sz w:val="24"/>
                <w:szCs w:val="24"/>
              </w:rPr>
              <w:t>。</w:t>
            </w:r>
          </w:p>
          <w:p>
            <w:pPr>
              <w:keepNext w:val="0"/>
              <w:keepLines w:val="0"/>
              <w:pageBreakBefore w:val="0"/>
              <w:kinsoku/>
              <w:wordWrap/>
              <w:overflowPunct/>
              <w:topLinePunct w:val="0"/>
              <w:autoSpaceDE/>
              <w:autoSpaceDN/>
              <w:bidi w:val="0"/>
              <w:adjustRightInd/>
              <w:spacing w:beforeAutospacing="0" w:afterAutospacing="0" w:line="500" w:lineRule="exact"/>
              <w:rPr>
                <w:rFonts w:hint="eastAsia" w:ascii="仿宋" w:hAnsi="仿宋" w:eastAsia="仿宋" w:cs="仿宋"/>
                <w:color w:val="auto"/>
                <w:sz w:val="24"/>
                <w:szCs w:val="24"/>
              </w:rPr>
            </w:pPr>
            <w:r>
              <w:rPr>
                <w:rFonts w:hint="eastAsia" w:ascii="仿宋" w:hAnsi="仿宋" w:eastAsia="仿宋" w:cs="仿宋"/>
                <w:color w:val="auto"/>
                <w:sz w:val="24"/>
                <w:szCs w:val="24"/>
              </w:rPr>
              <w:t>4.</w:t>
            </w:r>
            <w:r>
              <w:rPr>
                <w:rFonts w:hint="eastAsia" w:ascii="仿宋" w:hAnsi="仿宋" w:eastAsia="仿宋" w:cs="仿宋"/>
                <w:color w:val="auto"/>
                <w:sz w:val="24"/>
                <w:szCs w:val="24"/>
                <w:lang w:val="en-US" w:eastAsia="zh-CN"/>
              </w:rPr>
              <w:t>未在有效时间内获取招标资料。</w:t>
            </w:r>
          </w:p>
          <w:p>
            <w:pPr>
              <w:keepNext w:val="0"/>
              <w:keepLines w:val="0"/>
              <w:pageBreakBefore w:val="0"/>
              <w:kinsoku/>
              <w:wordWrap/>
              <w:overflowPunct/>
              <w:topLinePunct w:val="0"/>
              <w:autoSpaceDE/>
              <w:autoSpaceDN/>
              <w:bidi w:val="0"/>
              <w:adjustRightInd/>
              <w:spacing w:beforeAutospacing="0" w:afterAutospacing="0" w:line="500" w:lineRule="exac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5.未从合法正规渠道（指本项目代理机构和本项目公告发布网站）获取</w:t>
            </w:r>
            <w:r>
              <w:rPr>
                <w:rFonts w:hint="eastAsia" w:ascii="仿宋" w:hAnsi="仿宋" w:eastAsia="仿宋" w:cs="仿宋"/>
                <w:strike/>
                <w:dstrike w:val="0"/>
                <w:color w:val="auto"/>
                <w:sz w:val="24"/>
                <w:szCs w:val="24"/>
                <w:lang w:val="en-US" w:eastAsia="zh-CN"/>
              </w:rPr>
              <w:t>招标</w:t>
            </w:r>
            <w:r>
              <w:rPr>
                <w:rFonts w:hint="eastAsia" w:ascii="仿宋" w:hAnsi="仿宋" w:eastAsia="仿宋" w:cs="仿宋"/>
                <w:color w:val="auto"/>
                <w:sz w:val="24"/>
                <w:szCs w:val="24"/>
                <w:lang w:val="en-US" w:eastAsia="zh-CN"/>
              </w:rPr>
              <w:t>磋商</w:t>
            </w:r>
            <w:r>
              <w:rPr>
                <w:rFonts w:hint="eastAsia" w:ascii="仿宋" w:hAnsi="仿宋" w:eastAsia="仿宋" w:cs="仿宋"/>
                <w:color w:val="auto"/>
                <w:sz w:val="24"/>
                <w:szCs w:val="24"/>
                <w:lang w:val="en-US" w:eastAsia="zh-CN"/>
              </w:rPr>
              <w:t>资料。</w:t>
            </w:r>
          </w:p>
          <w:p>
            <w:pPr>
              <w:keepNext w:val="0"/>
              <w:keepLines w:val="0"/>
              <w:pageBreakBefore w:val="0"/>
              <w:kinsoku/>
              <w:wordWrap/>
              <w:overflowPunct/>
              <w:topLinePunct w:val="0"/>
              <w:autoSpaceDE/>
              <w:autoSpaceDN/>
              <w:bidi w:val="0"/>
              <w:adjustRightInd/>
              <w:spacing w:beforeAutospacing="0" w:afterAutospacing="0" w:line="500" w:lineRule="exac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6.响应</w:t>
            </w:r>
            <w:r>
              <w:rPr>
                <w:rFonts w:hint="eastAsia" w:ascii="仿宋" w:hAnsi="仿宋" w:eastAsia="仿宋" w:cs="仿宋"/>
                <w:color w:val="auto"/>
                <w:sz w:val="24"/>
                <w:szCs w:val="24"/>
              </w:rPr>
              <w:t>附有采购人</w:t>
            </w:r>
            <w:r>
              <w:rPr>
                <w:rFonts w:hint="eastAsia" w:ascii="仿宋" w:hAnsi="仿宋" w:eastAsia="仿宋" w:cs="仿宋"/>
                <w:color w:val="auto"/>
                <w:sz w:val="24"/>
                <w:szCs w:val="24"/>
                <w:lang w:val="en-US" w:eastAsia="zh-CN"/>
              </w:rPr>
              <w:t>不能接受的条件。</w:t>
            </w:r>
          </w:p>
          <w:p>
            <w:pPr>
              <w:keepNext w:val="0"/>
              <w:keepLines w:val="0"/>
              <w:pageBreakBefore w:val="0"/>
              <w:kinsoku/>
              <w:wordWrap/>
              <w:overflowPunct/>
              <w:topLinePunct w:val="0"/>
              <w:autoSpaceDE/>
              <w:autoSpaceDN/>
              <w:bidi w:val="0"/>
              <w:adjustRightInd/>
              <w:spacing w:beforeAutospacing="0" w:afterAutospacing="0" w:line="500" w:lineRule="exac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7.磋商文件及法律法规规定的其他无效情形。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17</w:t>
            </w:r>
          </w:p>
        </w:tc>
        <w:tc>
          <w:tcPr>
            <w:tcW w:w="1907" w:type="dxa"/>
            <w:tcBorders>
              <w:right w:val="nil"/>
            </w:tcBorders>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eastAsia="zh-CN"/>
              </w:rPr>
              <w:t>补充事项</w:t>
            </w:r>
          </w:p>
        </w:tc>
        <w:tc>
          <w:tcPr>
            <w:tcW w:w="6448" w:type="dxa"/>
            <w:tcBorders>
              <w:left w:val="nil"/>
            </w:tcBorders>
            <w:vAlign w:val="center"/>
          </w:tcPr>
          <w:p>
            <w:pPr>
              <w:keepNext w:val="0"/>
              <w:keepLines w:val="0"/>
              <w:pageBreakBefore w:val="0"/>
              <w:numPr>
                <w:ilvl w:val="0"/>
                <w:numId w:val="0"/>
              </w:numPr>
              <w:shd w:val="clear"/>
              <w:kinsoku/>
              <w:wordWrap/>
              <w:overflowPunct/>
              <w:topLinePunct w:val="0"/>
              <w:autoSpaceDE/>
              <w:autoSpaceDN/>
              <w:bidi w:val="0"/>
              <w:adjustRightInd/>
              <w:spacing w:line="500" w:lineRule="exact"/>
              <w:ind w:left="0" w:leftChars="0" w:firstLine="0" w:firstLineChars="0"/>
              <w:rPr>
                <w:rFonts w:hint="eastAsia" w:ascii="仿宋" w:hAnsi="仿宋" w:eastAsia="仿宋" w:cs="仿宋"/>
                <w:color w:val="auto"/>
                <w:sz w:val="24"/>
                <w:szCs w:val="24"/>
                <w:highlight w:val="yellow"/>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17</w:t>
            </w:r>
            <w:r>
              <w:rPr>
                <w:rFonts w:hint="eastAsia" w:ascii="仿宋" w:hAnsi="仿宋" w:eastAsia="仿宋" w:cs="仿宋"/>
                <w:color w:val="auto"/>
                <w:sz w:val="24"/>
                <w:szCs w:val="24"/>
                <w:highlight w:val="none"/>
                <w:lang w:val="en-US" w:eastAsia="zh-CN"/>
              </w:rPr>
              <w:t>.1</w:t>
            </w:r>
          </w:p>
        </w:tc>
        <w:tc>
          <w:tcPr>
            <w:tcW w:w="1907" w:type="dxa"/>
            <w:vAlign w:val="center"/>
          </w:tcPr>
          <w:p>
            <w:pPr>
              <w:keepNext w:val="0"/>
              <w:keepLines w:val="0"/>
              <w:pageBreakBefore w:val="0"/>
              <w:kinsoku/>
              <w:wordWrap/>
              <w:overflowPunct/>
              <w:topLinePunct w:val="0"/>
              <w:autoSpaceDE/>
              <w:autoSpaceDN/>
              <w:bidi w:val="0"/>
              <w:adjustRightInd/>
              <w:snapToGrid w:val="0"/>
              <w:spacing w:line="500" w:lineRule="exact"/>
              <w:jc w:val="center"/>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磋商文件解释权</w:t>
            </w:r>
          </w:p>
        </w:tc>
        <w:tc>
          <w:tcPr>
            <w:tcW w:w="6448" w:type="dxa"/>
            <w:vAlign w:val="center"/>
          </w:tcPr>
          <w:p>
            <w:pPr>
              <w:keepNext w:val="0"/>
              <w:keepLines w:val="0"/>
              <w:pageBreakBefore w:val="0"/>
              <w:numPr>
                <w:ilvl w:val="0"/>
                <w:numId w:val="0"/>
              </w:numPr>
              <w:kinsoku/>
              <w:wordWrap/>
              <w:overflowPunct/>
              <w:topLinePunct w:val="0"/>
              <w:autoSpaceDE/>
              <w:autoSpaceDN/>
              <w:bidi w:val="0"/>
              <w:adjustRightInd/>
              <w:snapToGrid w:val="0"/>
              <w:spacing w:line="500" w:lineRule="exact"/>
              <w:ind w:left="0" w:leftChars="0" w:firstLine="0" w:firstLineChars="0"/>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磋商</w:t>
            </w:r>
            <w:r>
              <w:rPr>
                <w:rFonts w:hint="eastAsia" w:ascii="仿宋" w:hAnsi="仿宋" w:eastAsia="仿宋" w:cs="仿宋"/>
                <w:color w:val="auto"/>
                <w:sz w:val="24"/>
                <w:szCs w:val="24"/>
                <w:highlight w:val="none"/>
                <w:lang w:val="en-US" w:eastAsia="zh-CN"/>
              </w:rPr>
              <w:t>文件的解释权归采购人及代理机构所有：1）对于当事各方对</w:t>
            </w:r>
            <w:r>
              <w:rPr>
                <w:rFonts w:hint="eastAsia" w:ascii="仿宋" w:hAnsi="仿宋" w:eastAsia="仿宋" w:cs="仿宋"/>
                <w:color w:val="auto"/>
                <w:sz w:val="24"/>
                <w:szCs w:val="24"/>
                <w:lang w:val="en-US" w:eastAsia="zh-CN"/>
              </w:rPr>
              <w:t>磋商</w:t>
            </w:r>
            <w:r>
              <w:rPr>
                <w:rFonts w:hint="eastAsia" w:ascii="仿宋" w:hAnsi="仿宋" w:eastAsia="仿宋" w:cs="仿宋"/>
                <w:color w:val="auto"/>
                <w:sz w:val="24"/>
                <w:szCs w:val="24"/>
                <w:highlight w:val="none"/>
                <w:lang w:val="en-US" w:eastAsia="zh-CN"/>
              </w:rPr>
              <w:t>文件发生理解偏差或歧义时，以</w:t>
            </w:r>
            <w:r>
              <w:rPr>
                <w:rFonts w:hint="eastAsia" w:ascii="仿宋" w:hAnsi="仿宋" w:eastAsia="仿宋" w:cs="仿宋"/>
                <w:color w:val="auto"/>
                <w:sz w:val="24"/>
                <w:szCs w:val="24"/>
                <w:lang w:val="en-US" w:eastAsia="zh-CN"/>
              </w:rPr>
              <w:t>磋商</w:t>
            </w:r>
            <w:r>
              <w:rPr>
                <w:rFonts w:hint="eastAsia" w:ascii="仿宋" w:hAnsi="仿宋" w:eastAsia="仿宋" w:cs="仿宋"/>
                <w:color w:val="auto"/>
                <w:sz w:val="24"/>
                <w:szCs w:val="24"/>
                <w:highlight w:val="none"/>
                <w:lang w:val="en-US" w:eastAsia="zh-CN"/>
              </w:rPr>
              <w:t>文件的编制者即代理机构的释义为基本依据。2）供应商对</w:t>
            </w:r>
            <w:r>
              <w:rPr>
                <w:rFonts w:hint="eastAsia" w:ascii="仿宋" w:hAnsi="仿宋" w:eastAsia="仿宋" w:cs="仿宋"/>
                <w:color w:val="auto"/>
                <w:sz w:val="24"/>
                <w:szCs w:val="24"/>
                <w:lang w:val="en-US" w:eastAsia="zh-CN"/>
              </w:rPr>
              <w:t>磋商文件的自主理解、推测、主观认为、随意臆造等造成的不利后果自负。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17.2</w:t>
            </w:r>
          </w:p>
        </w:tc>
        <w:tc>
          <w:tcPr>
            <w:tcW w:w="1907"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供应商获取采购信息的正规渠道</w:t>
            </w:r>
          </w:p>
        </w:tc>
        <w:tc>
          <w:tcPr>
            <w:tcW w:w="6448"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jc w:val="both"/>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highlight w:val="none"/>
                <w:lang w:val="en-US" w:eastAsia="zh-CN"/>
              </w:rPr>
              <w:t>本公告发布媒体为“陕西省政府采购网”，潜在</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highlight w:val="none"/>
                <w:lang w:val="en-US" w:eastAsia="zh-CN"/>
              </w:rPr>
              <w:t>从代理机构和本公告发布网站以外的其他渠道（非正常渠道）获取的与本项目相关的信息无效，且采购人及代理机构对此不负任何责任。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17</w:t>
            </w:r>
            <w:r>
              <w:rPr>
                <w:rFonts w:hint="eastAsia" w:ascii="仿宋" w:hAnsi="仿宋" w:eastAsia="仿宋" w:cs="仿宋"/>
                <w:color w:val="auto"/>
                <w:kern w:val="2"/>
                <w:sz w:val="24"/>
                <w:szCs w:val="24"/>
                <w:lang w:val="en-US" w:eastAsia="zh-CN" w:bidi="ar-SA"/>
              </w:rPr>
              <w:t>.3</w:t>
            </w:r>
          </w:p>
        </w:tc>
        <w:tc>
          <w:tcPr>
            <w:tcW w:w="1907" w:type="dxa"/>
            <w:vAlign w:val="center"/>
          </w:tcPr>
          <w:p>
            <w:pPr>
              <w:keepNext w:val="0"/>
              <w:keepLines w:val="0"/>
              <w:pageBreakBefore w:val="0"/>
              <w:kinsoku/>
              <w:wordWrap/>
              <w:overflowPunct/>
              <w:topLinePunct w:val="0"/>
              <w:autoSpaceDE/>
              <w:autoSpaceDN/>
              <w:bidi w:val="0"/>
              <w:adjustRightInd/>
              <w:snapToGrid w:val="0"/>
              <w:spacing w:line="500" w:lineRule="exact"/>
              <w:jc w:val="center"/>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约定</w:t>
            </w:r>
          </w:p>
        </w:tc>
        <w:tc>
          <w:tcPr>
            <w:tcW w:w="6448"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jc w:val="both"/>
              <w:rPr>
                <w:rFonts w:hint="eastAsia" w:ascii="仿宋" w:hAnsi="仿宋" w:eastAsia="仿宋" w:cs="仿宋"/>
                <w:b w:val="0"/>
                <w:bCs w:val="0"/>
                <w:color w:val="auto"/>
                <w:kern w:val="2"/>
                <w:sz w:val="24"/>
                <w:szCs w:val="24"/>
                <w:lang w:val="en-US" w:eastAsia="zh-CN" w:bidi="ar-SA"/>
              </w:rPr>
            </w:pPr>
            <w:r>
              <w:rPr>
                <w:rFonts w:hint="eastAsia" w:ascii="仿宋" w:hAnsi="仿宋" w:eastAsia="仿宋" w:cs="仿宋"/>
                <w:b w:val="0"/>
                <w:bCs w:val="0"/>
                <w:color w:val="auto"/>
                <w:kern w:val="2"/>
                <w:sz w:val="24"/>
                <w:szCs w:val="24"/>
                <w:lang w:val="en-US" w:eastAsia="zh-CN" w:bidi="ar-SA"/>
              </w:rPr>
              <w:t>对质量、技术、资质要求或约定不明确的，应首先按照国家强制性标准要求执行，其次需符合国家推荐性标准、行业/地方标准以及满足合同目的的特定标准。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17.4</w:t>
            </w:r>
          </w:p>
        </w:tc>
        <w:tc>
          <w:tcPr>
            <w:tcW w:w="1907" w:type="dxa"/>
            <w:vAlign w:val="center"/>
          </w:tcPr>
          <w:p>
            <w:pPr>
              <w:keepNext w:val="0"/>
              <w:keepLines w:val="0"/>
              <w:pageBreakBefore w:val="0"/>
              <w:kinsoku/>
              <w:wordWrap/>
              <w:overflowPunct/>
              <w:topLinePunct w:val="0"/>
              <w:autoSpaceDE/>
              <w:autoSpaceDN/>
              <w:bidi w:val="0"/>
              <w:adjustRightInd/>
              <w:snapToGrid w:val="0"/>
              <w:spacing w:line="500" w:lineRule="exact"/>
              <w:jc w:val="center"/>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虚假材料</w:t>
            </w:r>
          </w:p>
        </w:tc>
        <w:tc>
          <w:tcPr>
            <w:tcW w:w="6448"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在政府采购活动中，《中华人民共和国政府采购法》第七十七条所称"虚假材料"指伪造、篡改或变造、涂改的技术参数检测报告、各种证件、证书，虚假的采购合同、相关业绩，虚假的社保证明、工作证明、财务资信证明、人员简历、劳动关系证明等，还包括与客观事实不相符的委托书、授权书或承诺函等。"虚假材料"中的"虚假"是指材料的真实性而非有效性，虚假材料不能等同于无效材料。</w:t>
            </w:r>
          </w:p>
          <w:p>
            <w:pPr>
              <w:keepNext w:val="0"/>
              <w:keepLines w:val="0"/>
              <w:pageBreakBefore w:val="0"/>
              <w:kinsoku/>
              <w:wordWrap/>
              <w:overflowPunct/>
              <w:topLinePunct w:val="0"/>
              <w:autoSpaceDE/>
              <w:autoSpaceDN/>
              <w:bidi w:val="0"/>
              <w:adjustRightInd/>
              <w:spacing w:beforeAutospacing="0" w:afterAutospacing="0" w:line="500" w:lineRule="exact"/>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2.对政策理解错误或概念不清而导致的错误、笔误、计算错误以及</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highlight w:val="none"/>
                <w:lang w:val="en-US" w:eastAsia="zh-CN"/>
              </w:rPr>
              <w:t>提供的已逾期的证书、未年审的证书等不能认定为虚假材料。</w:t>
            </w:r>
          </w:p>
          <w:p>
            <w:pPr>
              <w:keepNext w:val="0"/>
              <w:keepLines w:val="0"/>
              <w:pageBreakBefore w:val="0"/>
              <w:kinsoku/>
              <w:wordWrap/>
              <w:overflowPunct/>
              <w:topLinePunct w:val="0"/>
              <w:autoSpaceDE/>
              <w:autoSpaceDN/>
              <w:bidi w:val="0"/>
              <w:adjustRightInd/>
              <w:spacing w:beforeAutospacing="0" w:afterAutospacing="0" w:line="500" w:lineRule="exact"/>
              <w:jc w:val="both"/>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3.对提供虚假材料谋取中标（成交）的认定，应该同时满足主观和客观两个方面的构成要件，要结合有关的证据材料和供应商篡改、伪造或变造、捏造事实以及该行为的目的性、危害后果等方面由</w:t>
            </w:r>
            <w:r>
              <w:rPr>
                <w:rFonts w:hint="eastAsia" w:ascii="仿宋" w:hAnsi="仿宋" w:eastAsia="仿宋" w:cs="仿宋"/>
                <w:color w:val="auto"/>
                <w:sz w:val="24"/>
                <w:szCs w:val="24"/>
                <w:lang w:val="en-US" w:eastAsia="zh-CN"/>
              </w:rPr>
              <w:t>监管部门</w:t>
            </w:r>
            <w:r>
              <w:rPr>
                <w:rFonts w:hint="eastAsia" w:ascii="仿宋" w:hAnsi="仿宋" w:eastAsia="仿宋" w:cs="仿宋"/>
                <w:color w:val="auto"/>
                <w:sz w:val="24"/>
                <w:szCs w:val="24"/>
                <w:highlight w:val="none"/>
                <w:lang w:val="en-US" w:eastAsia="zh-CN"/>
              </w:rPr>
              <w:t>进行综合考量和判断。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17.5</w:t>
            </w:r>
          </w:p>
        </w:tc>
        <w:tc>
          <w:tcPr>
            <w:tcW w:w="1907" w:type="dxa"/>
            <w:vAlign w:val="center"/>
          </w:tcPr>
          <w:p>
            <w:pPr>
              <w:keepNext w:val="0"/>
              <w:keepLines w:val="0"/>
              <w:pageBreakBefore w:val="0"/>
              <w:kinsoku/>
              <w:wordWrap/>
              <w:overflowPunct/>
              <w:topLinePunct w:val="0"/>
              <w:autoSpaceDE/>
              <w:autoSpaceDN/>
              <w:bidi w:val="0"/>
              <w:adjustRightInd/>
              <w:snapToGrid w:val="0"/>
              <w:spacing w:line="500" w:lineRule="exact"/>
              <w:jc w:val="center"/>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无效资料</w:t>
            </w:r>
          </w:p>
        </w:tc>
        <w:tc>
          <w:tcPr>
            <w:tcW w:w="6448" w:type="dxa"/>
            <w:vAlign w:val="center"/>
          </w:tcPr>
          <w:p>
            <w:pPr>
              <w:keepNext w:val="0"/>
              <w:keepLines w:val="0"/>
              <w:pageBreakBefore w:val="0"/>
              <w:widowControl/>
              <w:kinsoku/>
              <w:wordWrap/>
              <w:overflowPunct/>
              <w:topLinePunct w:val="0"/>
              <w:autoSpaceDE/>
              <w:autoSpaceDN/>
              <w:bidi w:val="0"/>
              <w:adjustRightInd/>
              <w:spacing w:beforeAutospacing="0" w:afterAutospacing="0" w:line="500" w:lineRule="exact"/>
              <w:jc w:val="both"/>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真实存在，</w:t>
            </w:r>
            <w:r>
              <w:rPr>
                <w:rFonts w:hint="eastAsia" w:ascii="仿宋" w:hAnsi="仿宋" w:eastAsia="仿宋" w:cs="仿宋"/>
                <w:color w:val="auto"/>
                <w:sz w:val="24"/>
                <w:szCs w:val="24"/>
                <w:lang w:val="en-US" w:eastAsia="zh-CN"/>
              </w:rPr>
              <w:t>但不符合磋商文件相关要求的文件资料。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17.6</w:t>
            </w:r>
          </w:p>
        </w:tc>
        <w:tc>
          <w:tcPr>
            <w:tcW w:w="1907" w:type="dxa"/>
            <w:vAlign w:val="center"/>
          </w:tcPr>
          <w:p>
            <w:pPr>
              <w:keepNext w:val="0"/>
              <w:keepLines w:val="0"/>
              <w:pageBreakBefore w:val="0"/>
              <w:kinsoku/>
              <w:wordWrap/>
              <w:overflowPunct/>
              <w:topLinePunct w:val="0"/>
              <w:autoSpaceDE/>
              <w:autoSpaceDN/>
              <w:bidi w:val="0"/>
              <w:adjustRightInd/>
              <w:snapToGrid w:val="0"/>
              <w:spacing w:line="500" w:lineRule="exact"/>
              <w:jc w:val="center"/>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文件异常一致</w:t>
            </w:r>
          </w:p>
        </w:tc>
        <w:tc>
          <w:tcPr>
            <w:tcW w:w="6448" w:type="dxa"/>
            <w:vAlign w:val="center"/>
          </w:tcPr>
          <w:p>
            <w:pPr>
              <w:keepNext w:val="0"/>
              <w:keepLines w:val="0"/>
              <w:pageBreakBefore w:val="0"/>
              <w:widowControl/>
              <w:kinsoku/>
              <w:wordWrap/>
              <w:overflowPunct/>
              <w:topLinePunct w:val="0"/>
              <w:autoSpaceDE/>
              <w:autoSpaceDN/>
              <w:bidi w:val="0"/>
              <w:adjustRightInd/>
              <w:spacing w:beforeAutospacing="0" w:afterAutospacing="0" w:line="500" w:lineRule="exact"/>
              <w:jc w:val="both"/>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指极小概率或者完全不可能一致的内容在不同响应文件中同时出现（如响应文件错误的内容雷同；由供应商自行编制的格式或自行编写的方案异常一致；属于某一供应商特有的业绩、编号、标识等在其他响应文件中同时出现等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17.7</w:t>
            </w:r>
          </w:p>
        </w:tc>
        <w:tc>
          <w:tcPr>
            <w:tcW w:w="1907"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文件相互混装</w:t>
            </w:r>
          </w:p>
        </w:tc>
        <w:tc>
          <w:tcPr>
            <w:tcW w:w="6448" w:type="dxa"/>
            <w:vAlign w:val="center"/>
          </w:tcPr>
          <w:p>
            <w:pPr>
              <w:keepNext w:val="0"/>
              <w:keepLines w:val="0"/>
              <w:pageBreakBefore w:val="0"/>
              <w:widowControl/>
              <w:kinsoku/>
              <w:wordWrap/>
              <w:overflowPunct/>
              <w:topLinePunct w:val="0"/>
              <w:bidi w:val="0"/>
              <w:adjustRightInd/>
              <w:spacing w:beforeAutospacing="0" w:afterAutospacing="0" w:line="500" w:lineRule="exact"/>
              <w:jc w:val="both"/>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指一家投标文件中装有本项目同标段其他投标单位（指提交了投标文件的单位）的投标资料即为混装（并非仅指双方互有混装的情形）。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17.8</w:t>
            </w:r>
          </w:p>
        </w:tc>
        <w:tc>
          <w:tcPr>
            <w:tcW w:w="1907" w:type="dxa"/>
            <w:vAlign w:val="center"/>
          </w:tcPr>
          <w:p>
            <w:pPr>
              <w:keepNext w:val="0"/>
              <w:keepLines w:val="0"/>
              <w:pageBreakBefore w:val="0"/>
              <w:kinsoku/>
              <w:wordWrap/>
              <w:overflowPunct/>
              <w:topLinePunct w:val="0"/>
              <w:autoSpaceDE/>
              <w:autoSpaceDN/>
              <w:bidi w:val="0"/>
              <w:adjustRightInd/>
              <w:snapToGrid w:val="0"/>
              <w:spacing w:line="500" w:lineRule="exact"/>
              <w:jc w:val="center"/>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报价规律性</w:t>
            </w:r>
          </w:p>
        </w:tc>
        <w:tc>
          <w:tcPr>
            <w:tcW w:w="6448" w:type="dxa"/>
            <w:vAlign w:val="center"/>
          </w:tcPr>
          <w:p>
            <w:pPr>
              <w:keepNext w:val="0"/>
              <w:keepLines w:val="0"/>
              <w:pageBreakBefore w:val="0"/>
              <w:widowControl/>
              <w:kinsoku/>
              <w:wordWrap/>
              <w:overflowPunct/>
              <w:topLinePunct w:val="0"/>
              <w:autoSpaceDE/>
              <w:autoSpaceDN/>
              <w:bidi w:val="0"/>
              <w:adjustRightInd/>
              <w:spacing w:beforeAutospacing="0" w:afterAutospacing="0" w:line="500" w:lineRule="exact"/>
              <w:jc w:val="both"/>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指响应报价呈现等差或等比数列趋势变化；分项报价完全一致或某些分项价格呈现规律性提高或降低等情形。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17.9</w:t>
            </w:r>
          </w:p>
        </w:tc>
        <w:tc>
          <w:tcPr>
            <w:tcW w:w="1907" w:type="dxa"/>
            <w:vAlign w:val="center"/>
          </w:tcPr>
          <w:p>
            <w:pPr>
              <w:keepNext w:val="0"/>
              <w:keepLines w:val="0"/>
              <w:pageBreakBefore w:val="0"/>
              <w:kinsoku/>
              <w:wordWrap/>
              <w:overflowPunct/>
              <w:topLinePunct w:val="0"/>
              <w:autoSpaceDE/>
              <w:autoSpaceDN/>
              <w:bidi w:val="0"/>
              <w:adjustRightInd/>
              <w:snapToGrid w:val="0"/>
              <w:spacing w:line="500" w:lineRule="exact"/>
              <w:jc w:val="center"/>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印章使用</w:t>
            </w:r>
          </w:p>
        </w:tc>
        <w:tc>
          <w:tcPr>
            <w:tcW w:w="6448" w:type="dxa"/>
            <w:vAlign w:val="center"/>
          </w:tcPr>
          <w:p>
            <w:pPr>
              <w:keepNext w:val="0"/>
              <w:keepLines w:val="0"/>
              <w:pageBreakBefore w:val="0"/>
              <w:widowControl/>
              <w:kinsoku/>
              <w:wordWrap/>
              <w:overflowPunct/>
              <w:topLinePunct w:val="0"/>
              <w:autoSpaceDE/>
              <w:autoSpaceDN/>
              <w:bidi w:val="0"/>
              <w:adjustRightInd/>
              <w:spacing w:beforeAutospacing="0" w:afterAutospacing="0" w:line="500" w:lineRule="exact"/>
              <w:jc w:val="both"/>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响应使用的单位印章均指电子签章。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17</w:t>
            </w:r>
            <w:r>
              <w:rPr>
                <w:rFonts w:hint="eastAsia" w:ascii="仿宋" w:hAnsi="仿宋" w:eastAsia="仿宋" w:cs="仿宋"/>
                <w:color w:val="auto"/>
                <w:kern w:val="2"/>
                <w:sz w:val="24"/>
                <w:szCs w:val="24"/>
                <w:lang w:val="en-US" w:eastAsia="zh-CN" w:bidi="ar-SA"/>
              </w:rPr>
              <w:t>.10</w:t>
            </w:r>
          </w:p>
        </w:tc>
        <w:tc>
          <w:tcPr>
            <w:tcW w:w="1907" w:type="dxa"/>
            <w:vAlign w:val="center"/>
          </w:tcPr>
          <w:p>
            <w:pPr>
              <w:keepNext w:val="0"/>
              <w:keepLines w:val="0"/>
              <w:pageBreakBefore w:val="0"/>
              <w:kinsoku/>
              <w:wordWrap/>
              <w:overflowPunct/>
              <w:topLinePunct w:val="0"/>
              <w:autoSpaceDE/>
              <w:autoSpaceDN/>
              <w:bidi w:val="0"/>
              <w:adjustRightInd/>
              <w:snapToGrid w:val="0"/>
              <w:spacing w:line="500" w:lineRule="exact"/>
              <w:jc w:val="center"/>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响应风险</w:t>
            </w:r>
          </w:p>
        </w:tc>
        <w:tc>
          <w:tcPr>
            <w:tcW w:w="6448" w:type="dxa"/>
            <w:vAlign w:val="center"/>
          </w:tcPr>
          <w:p>
            <w:pPr>
              <w:keepNext w:val="0"/>
              <w:keepLines w:val="0"/>
              <w:pageBreakBefore w:val="0"/>
              <w:widowControl/>
              <w:numPr>
                <w:ilvl w:val="0"/>
                <w:numId w:val="0"/>
              </w:numPr>
              <w:kinsoku/>
              <w:wordWrap/>
              <w:overflowPunct/>
              <w:topLinePunct w:val="0"/>
              <w:autoSpaceDE/>
              <w:autoSpaceDN/>
              <w:bidi w:val="0"/>
              <w:adjustRightInd/>
              <w:spacing w:beforeAutospacing="0" w:afterAutospacing="0" w:line="500" w:lineRule="exact"/>
              <w:jc w:val="both"/>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无论响应结果如何，供应商应自行承担参与本项目发生的所有费用和应担风险。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17</w:t>
            </w:r>
            <w:r>
              <w:rPr>
                <w:rFonts w:hint="eastAsia" w:ascii="仿宋" w:hAnsi="仿宋" w:eastAsia="仿宋" w:cs="仿宋"/>
                <w:color w:val="auto"/>
                <w:kern w:val="2"/>
                <w:sz w:val="24"/>
                <w:szCs w:val="24"/>
                <w:lang w:val="en-US" w:eastAsia="zh-CN" w:bidi="ar-SA"/>
              </w:rPr>
              <w:t>.11</w:t>
            </w:r>
          </w:p>
        </w:tc>
        <w:tc>
          <w:tcPr>
            <w:tcW w:w="1907"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highlight w:val="none"/>
                <w:lang w:val="en-US" w:eastAsia="zh-CN"/>
              </w:rPr>
              <w:t>正当理由</w:t>
            </w:r>
          </w:p>
        </w:tc>
        <w:tc>
          <w:tcPr>
            <w:tcW w:w="6448"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是指不可抗力</w:t>
            </w:r>
            <w:r>
              <w:rPr>
                <w:rFonts w:hint="eastAsia" w:ascii="仿宋" w:hAnsi="仿宋" w:eastAsia="仿宋" w:cs="仿宋"/>
                <w:color w:val="auto"/>
                <w:sz w:val="24"/>
                <w:szCs w:val="24"/>
                <w:lang w:val="en-US" w:eastAsia="zh-CN"/>
              </w:rPr>
              <w:t>（指不能预见、不能避免、不能克服的客观情况）：</w:t>
            </w:r>
            <w:r>
              <w:rPr>
                <w:rFonts w:hint="eastAsia" w:ascii="仿宋" w:hAnsi="仿宋" w:eastAsia="仿宋" w:cs="仿宋"/>
                <w:color w:val="auto"/>
                <w:sz w:val="24"/>
                <w:szCs w:val="24"/>
                <w:highlight w:val="none"/>
                <w:lang w:val="en-US" w:eastAsia="zh-CN"/>
              </w:rPr>
              <w:t>一是自然灾害，例如地震、台风、洪水等；二是某些政府行为，例如政府颁布新政策、法律和采取行政措施；三是社会异常事件，例如罢工、战争等。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jc w:val="center"/>
              <w:textAlignment w:val="auto"/>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17</w:t>
            </w:r>
            <w:r>
              <w:rPr>
                <w:rFonts w:hint="eastAsia" w:ascii="仿宋" w:hAnsi="仿宋" w:eastAsia="仿宋" w:cs="仿宋"/>
                <w:color w:val="auto"/>
                <w:kern w:val="2"/>
                <w:sz w:val="24"/>
                <w:szCs w:val="24"/>
                <w:lang w:val="en-US" w:eastAsia="zh-CN" w:bidi="ar-SA"/>
              </w:rPr>
              <w:t>.12</w:t>
            </w:r>
          </w:p>
        </w:tc>
        <w:tc>
          <w:tcPr>
            <w:tcW w:w="1907"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highlight w:val="none"/>
                <w:lang w:val="en-US" w:eastAsia="zh-CN"/>
              </w:rPr>
              <w:t>商业秘密</w:t>
            </w:r>
          </w:p>
        </w:tc>
        <w:tc>
          <w:tcPr>
            <w:tcW w:w="6448"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是指不为公众所知悉、具有商业价值并经权利人采取相应保密措施的技术信息和经营信息等商业信息。主要指技术秘密、商业情报及经济信息、价格等与技术和经营活动有关的相关信息，如生产工艺、生产原料、客户信息、相关数据、管理、财务、购销渠道以及招投标资料等当事人不愿公开的商业秘密。响应文件是</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highlight w:val="none"/>
                <w:lang w:val="en-US" w:eastAsia="zh-CN"/>
              </w:rPr>
              <w:t>根据磋商文件的要求编制的，具有独特、个性的特征，并具有实用性，能为</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highlight w:val="none"/>
                <w:lang w:val="en-US" w:eastAsia="zh-CN"/>
              </w:rPr>
              <w:t>带来经济利益，因此其属于</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highlight w:val="none"/>
                <w:lang w:val="en-US" w:eastAsia="zh-CN"/>
              </w:rPr>
              <w:t>的商业秘密，不</w:t>
            </w:r>
            <w:r>
              <w:rPr>
                <w:rFonts w:hint="eastAsia" w:ascii="仿宋" w:hAnsi="仿宋" w:eastAsia="仿宋" w:cs="仿宋"/>
                <w:color w:val="auto"/>
                <w:sz w:val="24"/>
                <w:szCs w:val="24"/>
                <w:lang w:val="en-US" w:eastAsia="zh-CN"/>
              </w:rPr>
              <w:t>可</w:t>
            </w:r>
            <w:r>
              <w:rPr>
                <w:rFonts w:hint="eastAsia" w:ascii="仿宋" w:hAnsi="仿宋" w:eastAsia="仿宋" w:cs="仿宋"/>
                <w:color w:val="auto"/>
                <w:sz w:val="24"/>
                <w:szCs w:val="24"/>
                <w:highlight w:val="none"/>
                <w:lang w:val="en-US" w:eastAsia="zh-CN"/>
              </w:rPr>
              <w:t>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jc w:val="center"/>
              <w:textAlignment w:val="auto"/>
              <w:rPr>
                <w:rFonts w:hint="default"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17.13</w:t>
            </w:r>
          </w:p>
        </w:tc>
        <w:tc>
          <w:tcPr>
            <w:tcW w:w="1907"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highlight w:val="none"/>
                <w:lang w:val="en-US" w:eastAsia="zh-CN"/>
              </w:rPr>
              <w:t>保密</w:t>
            </w:r>
          </w:p>
        </w:tc>
        <w:tc>
          <w:tcPr>
            <w:tcW w:w="6448" w:type="dxa"/>
            <w:vAlign w:val="center"/>
          </w:tcPr>
          <w:p>
            <w:pPr>
              <w:keepNext w:val="0"/>
              <w:keepLines w:val="0"/>
              <w:pageBreakBefore w:val="0"/>
              <w:kinsoku/>
              <w:wordWrap/>
              <w:overflowPunct/>
              <w:topLinePunct w:val="0"/>
              <w:autoSpaceDE/>
              <w:autoSpaceDN/>
              <w:bidi w:val="0"/>
              <w:adjustRightInd/>
              <w:spacing w:line="500" w:lineRule="exac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采购活动的当事各方，不得以任何形式向任何单位和个人提供与本项目有关的磋商资料，均应对磋商、响应文件中的商业和技术等内容进行保密，违者承担法律责任。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jc w:val="center"/>
              <w:textAlignment w:val="auto"/>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18</w:t>
            </w:r>
          </w:p>
        </w:tc>
        <w:tc>
          <w:tcPr>
            <w:tcW w:w="1907" w:type="dxa"/>
            <w:vAlign w:val="center"/>
          </w:tcPr>
          <w:p>
            <w:pPr>
              <w:keepNext w:val="0"/>
              <w:keepLines w:val="0"/>
              <w:pageBreakBefore w:val="0"/>
              <w:kinsoku/>
              <w:wordWrap/>
              <w:overflowPunct/>
              <w:topLinePunct w:val="0"/>
              <w:autoSpaceDE/>
              <w:autoSpaceDN/>
              <w:bidi w:val="0"/>
              <w:adjustRightInd/>
              <w:snapToGrid w:val="0"/>
              <w:spacing w:line="500" w:lineRule="exact"/>
              <w:jc w:val="center"/>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eastAsia="zh-CN"/>
              </w:rPr>
              <w:t>其他</w:t>
            </w:r>
          </w:p>
        </w:tc>
        <w:tc>
          <w:tcPr>
            <w:tcW w:w="6448" w:type="dxa"/>
            <w:vAlign w:val="center"/>
          </w:tcPr>
          <w:p>
            <w:pPr>
              <w:keepNext w:val="0"/>
              <w:keepLines w:val="0"/>
              <w:pageBreakBefore w:val="0"/>
              <w:kinsoku/>
              <w:wordWrap/>
              <w:overflowPunct/>
              <w:topLinePunct w:val="0"/>
              <w:autoSpaceDE/>
              <w:autoSpaceDN/>
              <w:bidi w:val="0"/>
              <w:adjustRightInd/>
              <w:snapToGrid w:val="0"/>
              <w:spacing w:line="500" w:lineRule="exact"/>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1.本文所称的“以上”、“以下”、“内”、“以内”、“届满”，包括本数；所称的“不足”、“不满”、“超过”、“以外”，不包括本数。</w:t>
            </w:r>
          </w:p>
          <w:p>
            <w:pPr>
              <w:keepNext w:val="0"/>
              <w:keepLines w:val="0"/>
              <w:pageBreakBefore w:val="0"/>
              <w:kinsoku/>
              <w:wordWrap/>
              <w:overflowPunct/>
              <w:topLinePunct w:val="0"/>
              <w:autoSpaceDE/>
              <w:autoSpaceDN/>
              <w:bidi w:val="0"/>
              <w:adjustRightInd/>
              <w:snapToGrid w:val="0"/>
              <w:spacing w:line="500" w:lineRule="exact"/>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2.文中的“自....之日起”，不包含当日，以下一日开始计算。</w:t>
            </w:r>
          </w:p>
          <w:p>
            <w:pPr>
              <w:keepNext w:val="0"/>
              <w:keepLines w:val="0"/>
              <w:pageBreakBefore w:val="0"/>
              <w:kinsoku/>
              <w:wordWrap/>
              <w:overflowPunct/>
              <w:topLinePunct w:val="0"/>
              <w:autoSpaceDE/>
              <w:autoSpaceDN/>
              <w:bidi w:val="0"/>
              <w:adjustRightInd/>
              <w:snapToGrid w:val="0"/>
              <w:spacing w:line="500" w:lineRule="exact"/>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3.若非特别说明，“日”等同“日历日”或“天”。</w:t>
            </w:r>
          </w:p>
          <w:p>
            <w:pPr>
              <w:keepNext w:val="0"/>
              <w:keepLines w:val="0"/>
              <w:pageBreakBefore w:val="0"/>
              <w:kinsoku/>
              <w:wordWrap/>
              <w:overflowPunct/>
              <w:topLinePunct w:val="0"/>
              <w:autoSpaceDE/>
              <w:autoSpaceDN/>
              <w:bidi w:val="0"/>
              <w:adjustRightInd/>
              <w:snapToGrid w:val="0"/>
              <w:spacing w:line="500" w:lineRule="exact"/>
              <w:textAlignment w:val="baseline"/>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4.文件中未做特殊说明，对1、2标段均适用。</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CBD94CF"/>
    <w:multiLevelType w:val="singleLevel"/>
    <w:tmpl w:val="6CBD94CF"/>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AzZTUyN2RhZjc0Y2I2ZWZkNjBmZjZmNGNhNDhlNzMifQ=="/>
  </w:docVars>
  <w:rsids>
    <w:rsidRoot w:val="0455620F"/>
    <w:rsid w:val="045562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99"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8"/>
      <w:szCs w:val="22"/>
      <w:lang w:val="en-US" w:eastAsia="zh-CN" w:bidi="ar-SA"/>
    </w:rPr>
  </w:style>
  <w:style w:type="character" w:default="1" w:styleId="7">
    <w:name w:val="Default Paragraph Font"/>
    <w:semiHidden/>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Normal Indent"/>
    <w:basedOn w:val="1"/>
    <w:qFormat/>
    <w:uiPriority w:val="99"/>
    <w:pPr>
      <w:ind w:firstLine="200" w:firstLineChars="200"/>
    </w:pPr>
    <w:rPr>
      <w:szCs w:val="21"/>
    </w:rPr>
  </w:style>
  <w:style w:type="paragraph" w:styleId="3">
    <w:name w:val="toa heading"/>
    <w:basedOn w:val="1"/>
    <w:next w:val="1"/>
    <w:semiHidden/>
    <w:qFormat/>
    <w:uiPriority w:val="99"/>
    <w:pPr>
      <w:spacing w:before="120"/>
    </w:pPr>
    <w:rPr>
      <w:rFonts w:ascii="Cambria" w:hAnsi="Cambria"/>
      <w:sz w:val="24"/>
    </w:rPr>
  </w:style>
  <w:style w:type="paragraph" w:styleId="4">
    <w:name w:val="annotation text"/>
    <w:basedOn w:val="1"/>
    <w:qFormat/>
    <w:uiPriority w:val="0"/>
    <w:pPr>
      <w:jc w:val="left"/>
    </w:pPr>
  </w:style>
  <w:style w:type="paragraph" w:styleId="5">
    <w:name w:val="toc 4"/>
    <w:basedOn w:val="1"/>
    <w:next w:val="1"/>
    <w:qFormat/>
    <w:uiPriority w:val="0"/>
    <w:pPr>
      <w:tabs>
        <w:tab w:val="left" w:pos="1890"/>
        <w:tab w:val="right" w:leader="dot" w:pos="8296"/>
      </w:tabs>
      <w:ind w:left="630" w:leftChars="300"/>
    </w:pPr>
  </w:style>
  <w:style w:type="paragraph" w:customStyle="1" w:styleId="8">
    <w:name w:val="null3"/>
    <w:autoRedefine/>
    <w:hidden/>
    <w:qFormat/>
    <w:uiPriority w:val="0"/>
    <w:rPr>
      <w:rFonts w:hint="eastAsia" w:asciiTheme="minorHAnsi" w:hAnsiTheme="minorHAnsi" w:eastAsiaTheme="minorEastAsia" w:cstheme="minorBidi"/>
      <w:lang w:val="en-US" w:eastAsia="zh-Hans"/>
    </w:rPr>
  </w:style>
  <w:style w:type="paragraph" w:customStyle="1" w:styleId="9">
    <w:name w:val="p15"/>
    <w:basedOn w:val="1"/>
    <w:autoRedefine/>
    <w:qFormat/>
    <w:uiPriority w:val="99"/>
    <w:pPr>
      <w:widowControl/>
    </w:pPr>
    <w:rPr>
      <w:kern w:val="0"/>
      <w:sz w:val="21"/>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2025-07-16T02:53:00Z</dcterms:created>
  <dc:creator>左左</dc:creator>
  <cp:lastModifiedBy>左左</cp:lastModifiedBy>
  <dcterms:modified xsi:type="dcterms:W3CDTF">2025-07-16T02:53:49Z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9AE5CB5AFA0E4F8882A2782205338F1D_11</vt:lpwstr>
  </property>
</Properties>
</file>