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B1B0B">
      <w:pPr>
        <w:spacing w:before="120" w:line="360" w:lineRule="auto"/>
        <w:jc w:val="center"/>
        <w:outlineLvl w:val="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政 府 采 购 合 同</w:t>
      </w:r>
    </w:p>
    <w:p w14:paraId="7CBE3AC2">
      <w:pPr>
        <w:spacing w:before="120" w:line="360" w:lineRule="auto"/>
        <w:jc w:val="center"/>
        <w:rPr>
          <w:rFonts w:hint="eastAsia" w:cs="宋体"/>
          <w:b/>
          <w:bCs/>
          <w:color w:val="auto"/>
          <w:sz w:val="21"/>
          <w:szCs w:val="21"/>
          <w:highlight w:val="none"/>
          <w:lang w:eastAsia="zh-CN"/>
        </w:rPr>
      </w:pPr>
    </w:p>
    <w:p w14:paraId="675A4193">
      <w:pPr>
        <w:spacing w:before="120" w:line="360" w:lineRule="auto"/>
        <w:jc w:val="center"/>
        <w:rPr>
          <w:rFonts w:hint="eastAsia" w:cs="宋体"/>
          <w:b/>
          <w:bCs/>
          <w:color w:val="auto"/>
          <w:sz w:val="21"/>
          <w:szCs w:val="21"/>
          <w:highlight w:val="none"/>
          <w:lang w:eastAsia="zh-CN"/>
        </w:rPr>
      </w:pPr>
    </w:p>
    <w:p w14:paraId="52E0BBA9">
      <w:pPr>
        <w:spacing w:before="120" w:line="360" w:lineRule="auto"/>
        <w:jc w:val="center"/>
        <w:rPr>
          <w:rFonts w:hint="eastAsia" w:ascii="宋体" w:hAnsi="宋体" w:eastAsia="宋体" w:cs="宋体"/>
          <w:color w:val="auto"/>
          <w:sz w:val="28"/>
          <w:szCs w:val="28"/>
          <w:highlight w:val="none"/>
          <w:lang w:eastAsia="zh-CN"/>
        </w:rPr>
      </w:pPr>
      <w:r>
        <w:rPr>
          <w:rFonts w:hint="eastAsia" w:cs="宋体"/>
          <w:b/>
          <w:bCs/>
          <w:color w:val="auto"/>
          <w:sz w:val="21"/>
          <w:szCs w:val="21"/>
          <w:highlight w:val="none"/>
          <w:lang w:eastAsia="zh-CN"/>
        </w:rPr>
        <w:t>（此合同仅供参考，以最终采购人与中标人签定的合同条款为准进行公示，最终签定合同的主要条款不能与招标文件有冲突。）</w:t>
      </w:r>
    </w:p>
    <w:p w14:paraId="64B127C9">
      <w:pPr>
        <w:spacing w:before="120" w:line="360" w:lineRule="auto"/>
        <w:ind w:firstLine="3064" w:firstLineChars="1090"/>
        <w:outlineLvl w:val="0"/>
        <w:rPr>
          <w:rFonts w:hint="eastAsia" w:ascii="宋体" w:hAnsi="宋体" w:eastAsia="宋体" w:cs="宋体"/>
          <w:b/>
          <w:bCs/>
          <w:color w:val="auto"/>
          <w:sz w:val="28"/>
          <w:szCs w:val="28"/>
          <w:highlight w:val="none"/>
        </w:rPr>
      </w:pPr>
      <w:bookmarkStart w:id="0" w:name="_Toc109542396"/>
      <w:bookmarkStart w:id="1" w:name="_Toc109543216"/>
      <w:bookmarkStart w:id="2" w:name="_Toc10857"/>
      <w:bookmarkStart w:id="3" w:name="_Toc9576"/>
    </w:p>
    <w:p w14:paraId="5BB6D2DE">
      <w:pPr>
        <w:spacing w:before="120" w:line="360" w:lineRule="auto"/>
        <w:ind w:firstLine="3064" w:firstLineChars="1090"/>
        <w:outlineLvl w:val="0"/>
        <w:rPr>
          <w:rFonts w:hint="eastAsia" w:ascii="宋体" w:hAnsi="宋体" w:eastAsia="宋体" w:cs="宋体"/>
          <w:b/>
          <w:bCs/>
          <w:color w:val="auto"/>
          <w:sz w:val="28"/>
          <w:szCs w:val="28"/>
          <w:highlight w:val="none"/>
        </w:rPr>
      </w:pPr>
    </w:p>
    <w:p w14:paraId="2C9914F7">
      <w:pPr>
        <w:spacing w:before="120" w:line="360" w:lineRule="auto"/>
        <w:ind w:firstLine="3064" w:firstLineChars="1090"/>
        <w:outlineLvl w:val="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合同编号：</w:t>
      </w:r>
      <w:bookmarkEnd w:id="0"/>
      <w:bookmarkEnd w:id="1"/>
      <w:bookmarkEnd w:id="2"/>
      <w:bookmarkEnd w:id="3"/>
      <w:r>
        <w:rPr>
          <w:rFonts w:hint="eastAsia" w:ascii="宋体" w:hAnsi="宋体" w:eastAsia="宋体" w:cs="宋体"/>
          <w:b/>
          <w:bCs/>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4CD7866B">
      <w:pPr>
        <w:pStyle w:val="2"/>
        <w:spacing w:before="120" w:line="360" w:lineRule="auto"/>
        <w:ind w:firstLine="0"/>
        <w:rPr>
          <w:rFonts w:hint="eastAsia" w:ascii="宋体" w:hAnsi="宋体" w:eastAsia="宋体" w:cs="宋体"/>
          <w:color w:val="auto"/>
          <w:sz w:val="28"/>
          <w:szCs w:val="28"/>
          <w:highlight w:val="none"/>
        </w:rPr>
      </w:pPr>
    </w:p>
    <w:p w14:paraId="18E7A679">
      <w:pPr>
        <w:spacing w:before="120" w:line="360" w:lineRule="auto"/>
        <w:rPr>
          <w:rFonts w:hint="eastAsia" w:ascii="宋体" w:hAnsi="宋体" w:eastAsia="宋体" w:cs="宋体"/>
          <w:b/>
          <w:bCs/>
          <w:color w:val="auto"/>
          <w:sz w:val="28"/>
          <w:szCs w:val="28"/>
          <w:highlight w:val="none"/>
        </w:rPr>
      </w:pPr>
    </w:p>
    <w:p w14:paraId="40BE8779">
      <w:pPr>
        <w:pStyle w:val="3"/>
        <w:spacing w:line="360" w:lineRule="auto"/>
        <w:rPr>
          <w:rFonts w:hint="eastAsia" w:ascii="宋体" w:hAnsi="宋体" w:eastAsia="宋体" w:cs="宋体"/>
          <w:b/>
          <w:bCs/>
          <w:color w:val="auto"/>
          <w:sz w:val="28"/>
          <w:szCs w:val="28"/>
          <w:highlight w:val="none"/>
        </w:rPr>
      </w:pPr>
    </w:p>
    <w:p w14:paraId="78B2E57A">
      <w:pPr>
        <w:pStyle w:val="3"/>
        <w:spacing w:line="360" w:lineRule="auto"/>
        <w:rPr>
          <w:rFonts w:hint="eastAsia" w:ascii="宋体" w:hAnsi="宋体" w:eastAsia="宋体" w:cs="宋体"/>
          <w:color w:val="auto"/>
          <w:highlight w:val="none"/>
        </w:rPr>
      </w:pPr>
    </w:p>
    <w:p w14:paraId="26C5EC5B">
      <w:pPr>
        <w:spacing w:before="120" w:line="360" w:lineRule="auto"/>
        <w:ind w:left="960"/>
        <w:outlineLvl w:val="0"/>
        <w:rPr>
          <w:rFonts w:hint="eastAsia" w:ascii="宋体" w:hAnsi="宋体" w:eastAsia="宋体" w:cs="宋体"/>
          <w:b/>
          <w:bCs/>
          <w:color w:val="auto"/>
          <w:sz w:val="28"/>
          <w:szCs w:val="28"/>
          <w:highlight w:val="none"/>
          <w:u w:val="single"/>
        </w:rPr>
      </w:pPr>
      <w:bookmarkStart w:id="4" w:name="_Toc13367"/>
      <w:bookmarkStart w:id="5" w:name="_Toc10914"/>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w:t>
      </w:r>
      <w:bookmarkEnd w:id="4"/>
      <w:bookmarkEnd w:id="5"/>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p>
    <w:p w14:paraId="489002E9">
      <w:pPr>
        <w:spacing w:before="120" w:line="360" w:lineRule="auto"/>
        <w:ind w:left="960"/>
        <w:outlineLvl w:val="0"/>
        <w:rPr>
          <w:rFonts w:hint="eastAsia" w:ascii="宋体" w:hAnsi="宋体" w:eastAsia="宋体" w:cs="宋体"/>
          <w:b/>
          <w:bCs/>
          <w:color w:val="auto"/>
          <w:sz w:val="28"/>
          <w:szCs w:val="28"/>
          <w:highlight w:val="none"/>
        </w:rPr>
      </w:pPr>
      <w:bookmarkStart w:id="6" w:name="_Toc4385"/>
      <w:bookmarkStart w:id="7" w:name="_Toc27013"/>
      <w:r>
        <w:rPr>
          <w:rFonts w:hint="eastAsia" w:ascii="宋体" w:hAnsi="宋体" w:eastAsia="宋体" w:cs="宋体"/>
          <w:b/>
          <w:bCs/>
          <w:color w:val="auto"/>
          <w:sz w:val="28"/>
          <w:szCs w:val="28"/>
          <w:highlight w:val="none"/>
          <w:lang w:val="en-US" w:eastAsia="zh-CN"/>
        </w:rPr>
        <w:t>采购人</w:t>
      </w:r>
      <w:r>
        <w:rPr>
          <w:rFonts w:hint="eastAsia" w:ascii="宋体" w:hAnsi="宋体" w:eastAsia="宋体" w:cs="宋体"/>
          <w:b/>
          <w:bCs/>
          <w:color w:val="auto"/>
          <w:sz w:val="28"/>
          <w:szCs w:val="28"/>
          <w:highlight w:val="none"/>
          <w:lang w:eastAsia="zh-CN"/>
        </w:rPr>
        <w:t>（甲方）</w:t>
      </w:r>
      <w:r>
        <w:rPr>
          <w:rFonts w:hint="eastAsia" w:ascii="宋体" w:hAnsi="宋体" w:eastAsia="宋体" w:cs="宋体"/>
          <w:b/>
          <w:bCs/>
          <w:color w:val="auto"/>
          <w:sz w:val="28"/>
          <w:szCs w:val="28"/>
          <w:highlight w:val="none"/>
        </w:rPr>
        <w:t>：</w:t>
      </w:r>
      <w:bookmarkEnd w:id="6"/>
      <w:bookmarkEnd w:id="7"/>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2E110AEF">
      <w:pPr>
        <w:spacing w:before="120" w:line="360" w:lineRule="auto"/>
        <w:ind w:left="960"/>
        <w:outlineLvl w:val="0"/>
        <w:rPr>
          <w:rFonts w:hint="eastAsia" w:ascii="宋体" w:hAnsi="宋体" w:eastAsia="宋体" w:cs="宋体"/>
          <w:b/>
          <w:bCs/>
          <w:color w:val="auto"/>
          <w:sz w:val="28"/>
          <w:szCs w:val="28"/>
          <w:highlight w:val="none"/>
          <w:u w:val="single"/>
        </w:rPr>
      </w:pPr>
      <w:bookmarkStart w:id="8" w:name="_Toc31961"/>
      <w:bookmarkStart w:id="9" w:name="_Toc5140"/>
      <w:r>
        <w:rPr>
          <w:rFonts w:hint="eastAsia" w:ascii="宋体" w:hAnsi="宋体" w:eastAsia="宋体" w:cs="宋体"/>
          <w:b/>
          <w:bCs/>
          <w:color w:val="auto"/>
          <w:sz w:val="28"/>
          <w:szCs w:val="28"/>
          <w:highlight w:val="none"/>
          <w:lang w:val="en-US" w:eastAsia="zh-CN"/>
        </w:rPr>
        <w:t>成交供应商（</w:t>
      </w:r>
      <w:r>
        <w:rPr>
          <w:rFonts w:hint="eastAsia" w:ascii="宋体" w:hAnsi="宋体" w:eastAsia="宋体" w:cs="宋体"/>
          <w:b/>
          <w:bCs/>
          <w:color w:val="auto"/>
          <w:sz w:val="28"/>
          <w:szCs w:val="28"/>
          <w:highlight w:val="none"/>
          <w:lang w:eastAsia="zh-CN"/>
        </w:rPr>
        <w:t>乙方</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rPr>
        <w:t>：</w:t>
      </w:r>
      <w:bookmarkEnd w:id="8"/>
      <w:bookmarkEnd w:id="9"/>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7A853D63">
      <w:pPr>
        <w:spacing w:before="120" w:line="360" w:lineRule="auto"/>
        <w:ind w:left="960"/>
        <w:outlineLvl w:val="0"/>
        <w:rPr>
          <w:rFonts w:hint="eastAsia" w:cs="宋体"/>
          <w:b/>
          <w:bCs/>
          <w:color w:val="auto"/>
          <w:sz w:val="28"/>
          <w:szCs w:val="28"/>
          <w:highlight w:val="none"/>
          <w:u w:val="single"/>
          <w:lang w:val="en-US" w:eastAsia="zh-CN"/>
        </w:rPr>
      </w:pPr>
      <w:bookmarkStart w:id="10" w:name="_Toc24531"/>
      <w:bookmarkStart w:id="11" w:name="_Toc25623"/>
      <w:r>
        <w:rPr>
          <w:rFonts w:hint="eastAsia" w:ascii="宋体" w:hAnsi="宋体" w:eastAsia="宋体" w:cs="宋体"/>
          <w:b/>
          <w:bCs/>
          <w:color w:val="auto"/>
          <w:sz w:val="28"/>
          <w:szCs w:val="28"/>
          <w:highlight w:val="none"/>
          <w:lang w:val="en-US" w:eastAsia="zh-CN"/>
        </w:rPr>
        <w:t>签署地点 ：</w:t>
      </w:r>
      <w:bookmarkEnd w:id="10"/>
      <w:bookmarkEnd w:id="11"/>
      <w:bookmarkStart w:id="12" w:name="_Toc31729"/>
      <w:bookmarkStart w:id="13" w:name="_Toc13545"/>
      <w:r>
        <w:rPr>
          <w:rFonts w:hint="eastAsia" w:cs="宋体"/>
          <w:b/>
          <w:bCs/>
          <w:color w:val="auto"/>
          <w:sz w:val="28"/>
          <w:szCs w:val="28"/>
          <w:highlight w:val="none"/>
          <w:u w:val="single"/>
          <w:lang w:val="en-US" w:eastAsia="zh-CN"/>
        </w:rPr>
        <w:t xml:space="preserve">                                     </w:t>
      </w:r>
    </w:p>
    <w:p w14:paraId="74C6101D">
      <w:pPr>
        <w:spacing w:before="120" w:line="360" w:lineRule="auto"/>
        <w:ind w:left="960"/>
        <w:outlineLvl w:val="0"/>
        <w:rPr>
          <w:rFonts w:hint="eastAsia" w:ascii="仿宋" w:hAnsi="仿宋" w:eastAsia="仿宋" w:cs="仿宋"/>
          <w:spacing w:val="-13"/>
          <w:sz w:val="21"/>
          <w:szCs w:val="21"/>
          <w:highlight w:val="none"/>
        </w:rPr>
      </w:pPr>
      <w:r>
        <w:rPr>
          <w:rFonts w:hint="eastAsia" w:ascii="宋体" w:hAnsi="宋体" w:eastAsia="宋体" w:cs="宋体"/>
          <w:b/>
          <w:bCs/>
          <w:color w:val="auto"/>
          <w:sz w:val="28"/>
          <w:szCs w:val="28"/>
          <w:highlight w:val="none"/>
          <w:lang w:val="en-US" w:eastAsia="zh-CN"/>
        </w:rPr>
        <w:t>签署日期 ：</w:t>
      </w:r>
      <w:bookmarkEnd w:id="12"/>
      <w:bookmarkEnd w:id="13"/>
      <w:r>
        <w:rPr>
          <w:rFonts w:hint="eastAsia" w:cs="宋体"/>
          <w:b/>
          <w:bCs/>
          <w:color w:val="auto"/>
          <w:sz w:val="28"/>
          <w:szCs w:val="28"/>
          <w:highlight w:val="none"/>
          <w:u w:val="single"/>
          <w:lang w:val="en-US" w:eastAsia="zh-CN"/>
        </w:rPr>
        <w:t xml:space="preserve">                                     </w:t>
      </w:r>
      <w:r>
        <w:rPr>
          <w:rFonts w:hint="eastAsia" w:ascii="仿宋" w:hAnsi="仿宋" w:eastAsia="仿宋" w:cs="仿宋"/>
          <w:spacing w:val="-13"/>
          <w:sz w:val="21"/>
          <w:szCs w:val="21"/>
          <w:highlight w:val="none"/>
        </w:rPr>
        <w:br w:type="page"/>
      </w:r>
    </w:p>
    <w:p w14:paraId="38433916">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13"/>
          <w:sz w:val="21"/>
          <w:szCs w:val="21"/>
          <w:highlight w:val="none"/>
        </w:rPr>
        <w:t>甲方：</w:t>
      </w:r>
      <w:r>
        <w:rPr>
          <w:rFonts w:hint="eastAsia" w:ascii="仿宋" w:hAnsi="仿宋" w:eastAsia="仿宋" w:cs="仿宋"/>
          <w:sz w:val="21"/>
          <w:szCs w:val="21"/>
          <w:highlight w:val="none"/>
          <w:u w:val="single" w:color="auto"/>
        </w:rPr>
        <w:t xml:space="preserve">                    </w:t>
      </w:r>
    </w:p>
    <w:p w14:paraId="4E583535">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地址：</w:t>
      </w:r>
      <w:r>
        <w:rPr>
          <w:rFonts w:hint="eastAsia" w:ascii="仿宋" w:hAnsi="仿宋" w:eastAsia="仿宋" w:cs="仿宋"/>
          <w:sz w:val="21"/>
          <w:szCs w:val="21"/>
          <w:highlight w:val="none"/>
          <w:u w:val="single" w:color="auto"/>
        </w:rPr>
        <w:t xml:space="preserve">                    </w:t>
      </w:r>
    </w:p>
    <w:p w14:paraId="54E518CF">
      <w:pPr>
        <w:pStyle w:val="3"/>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p>
    <w:p w14:paraId="320EE46B">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7"/>
          <w:sz w:val="21"/>
          <w:szCs w:val="21"/>
          <w:highlight w:val="none"/>
        </w:rPr>
        <w:t>乙方：</w:t>
      </w:r>
      <w:r>
        <w:rPr>
          <w:rFonts w:hint="eastAsia" w:ascii="仿宋" w:hAnsi="仿宋" w:eastAsia="仿宋" w:cs="仿宋"/>
          <w:spacing w:val="-7"/>
          <w:sz w:val="21"/>
          <w:szCs w:val="21"/>
          <w:highlight w:val="none"/>
          <w:u w:val="single" w:color="auto"/>
        </w:rPr>
        <w:t xml:space="preserve">                     </w:t>
      </w:r>
    </w:p>
    <w:p w14:paraId="6D07381D">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地址：</w:t>
      </w:r>
      <w:r>
        <w:rPr>
          <w:rFonts w:hint="eastAsia" w:ascii="仿宋" w:hAnsi="仿宋" w:eastAsia="仿宋" w:cs="仿宋"/>
          <w:sz w:val="21"/>
          <w:szCs w:val="21"/>
          <w:highlight w:val="none"/>
          <w:u w:val="single" w:color="auto"/>
        </w:rPr>
        <w:t xml:space="preserve">                    </w:t>
      </w:r>
    </w:p>
    <w:p w14:paraId="5FAC3B2D">
      <w:pPr>
        <w:pStyle w:val="3"/>
        <w:pageBreakBefore w:val="0"/>
        <w:kinsoku/>
        <w:overflowPunct/>
        <w:topLinePunct w:val="0"/>
        <w:bidi w:val="0"/>
        <w:spacing w:beforeAutospacing="0" w:afterAutospacing="0" w:line="440" w:lineRule="exact"/>
        <w:ind w:left="0" w:leftChars="0" w:right="0"/>
        <w:rPr>
          <w:rFonts w:hint="eastAsia" w:ascii="仿宋" w:hAnsi="仿宋" w:eastAsia="仿宋" w:cs="仿宋"/>
          <w:highlight w:val="none"/>
        </w:rPr>
      </w:pPr>
    </w:p>
    <w:p w14:paraId="7C5E4F70">
      <w:pPr>
        <w:pageBreakBefore w:val="0"/>
        <w:kinsoku/>
        <w:overflowPunct/>
        <w:topLinePunct w:val="0"/>
        <w:bidi w:val="0"/>
        <w:spacing w:beforeAutospacing="0" w:afterAutospacing="0" w:line="440" w:lineRule="exact"/>
        <w:ind w:left="0" w:leftChars="0" w:right="0" w:firstLine="480"/>
        <w:jc w:val="both"/>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依据《中华人民共和国民法典》、《中华人民共和国</w:t>
      </w:r>
      <w:r>
        <w:rPr>
          <w:rFonts w:hint="eastAsia" w:ascii="仿宋" w:hAnsi="仿宋" w:eastAsia="仿宋" w:cs="仿宋"/>
          <w:spacing w:val="-3"/>
          <w:sz w:val="21"/>
          <w:szCs w:val="21"/>
          <w:highlight w:val="none"/>
        </w:rPr>
        <w:t>政府采购法》、《中华人民共</w:t>
      </w:r>
      <w:r>
        <w:rPr>
          <w:rFonts w:hint="eastAsia" w:ascii="仿宋" w:hAnsi="仿宋" w:eastAsia="仿宋" w:cs="仿宋"/>
          <w:spacing w:val="-2"/>
          <w:sz w:val="21"/>
          <w:szCs w:val="21"/>
          <w:highlight w:val="none"/>
        </w:rPr>
        <w:t>和国政府采购法实施条例》等法律法规之规定，经甲乙双方协商，本</w:t>
      </w:r>
      <w:r>
        <w:rPr>
          <w:rFonts w:hint="eastAsia" w:ascii="仿宋" w:hAnsi="仿宋" w:eastAsia="仿宋" w:cs="仿宋"/>
          <w:spacing w:val="-3"/>
          <w:sz w:val="21"/>
          <w:szCs w:val="21"/>
          <w:highlight w:val="none"/>
        </w:rPr>
        <w:t>着合作互利、平等自愿的原则，订立本合同，以资共同遵守：</w:t>
      </w:r>
    </w:p>
    <w:p w14:paraId="3BFEBEB8">
      <w:pPr>
        <w:pageBreakBefore w:val="0"/>
        <w:numPr>
          <w:ilvl w:val="0"/>
          <w:numId w:val="1"/>
        </w:numPr>
        <w:kinsoku/>
        <w:overflowPunct/>
        <w:topLinePunct w:val="0"/>
        <w:bidi w:val="0"/>
        <w:spacing w:beforeAutospacing="0" w:afterAutospacing="0" w:line="440" w:lineRule="exact"/>
        <w:ind w:left="0" w:leftChars="0" w:right="0"/>
        <w:rPr>
          <w:rFonts w:hint="eastAsia" w:ascii="仿宋" w:hAnsi="仿宋" w:eastAsia="仿宋" w:cs="仿宋"/>
          <w:spacing w:val="-1"/>
          <w:sz w:val="21"/>
          <w:szCs w:val="21"/>
          <w:highlight w:val="none"/>
        </w:rPr>
      </w:pPr>
      <w:r>
        <w:rPr>
          <w:rFonts w:hint="eastAsia" w:ascii="仿宋" w:hAnsi="仿宋" w:eastAsia="仿宋" w:cs="仿宋"/>
          <w:spacing w:val="-1"/>
          <w:sz w:val="21"/>
          <w:szCs w:val="21"/>
          <w:highlight w:val="none"/>
        </w:rPr>
        <w:t>项目服务范围及内容：</w:t>
      </w:r>
    </w:p>
    <w:p w14:paraId="445867FB">
      <w:pPr>
        <w:pageBreakBefore w:val="0"/>
        <w:kinsoku/>
        <w:overflowPunct/>
        <w:topLinePunct w:val="0"/>
        <w:bidi w:val="0"/>
        <w:spacing w:beforeAutospacing="0" w:afterAutospacing="0" w:line="440" w:lineRule="exact"/>
        <w:ind w:left="0" w:leftChars="0" w:right="0" w:firstLine="412"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lang w:val="en-US" w:eastAsia="zh-CN"/>
        </w:rPr>
        <w:t>为富平县生活垃圾分类示范小区提升改造配置相关硬件设备及服务：</w:t>
      </w:r>
      <w:r>
        <w:rPr>
          <w:rFonts w:hint="eastAsia" w:ascii="仿宋" w:hAnsi="仿宋" w:eastAsia="仿宋" w:cs="仿宋"/>
          <w:color w:val="auto"/>
          <w:spacing w:val="-2"/>
          <w:sz w:val="21"/>
          <w:szCs w:val="21"/>
          <w:highlight w:val="none"/>
        </w:rPr>
        <w:t>生活垃圾分类收集</w:t>
      </w:r>
      <w:r>
        <w:rPr>
          <w:rFonts w:hint="eastAsia" w:ascii="仿宋" w:hAnsi="仿宋" w:eastAsia="仿宋" w:cs="仿宋"/>
          <w:color w:val="auto"/>
          <w:spacing w:val="-2"/>
          <w:sz w:val="21"/>
          <w:szCs w:val="21"/>
          <w:highlight w:val="none"/>
          <w:lang w:val="en-US" w:eastAsia="zh-CN"/>
        </w:rPr>
        <w:t>房（含智能化和非智能）、分类投放亭（含智能化和非智能）</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宣传栏、</w:t>
      </w:r>
      <w:r>
        <w:rPr>
          <w:rFonts w:hint="eastAsia" w:ascii="仿宋" w:hAnsi="仿宋" w:eastAsia="仿宋" w:cs="仿宋"/>
          <w:color w:val="auto"/>
          <w:spacing w:val="-2"/>
          <w:sz w:val="21"/>
          <w:szCs w:val="21"/>
          <w:highlight w:val="none"/>
        </w:rPr>
        <w:t>有害垃圾收集盒（含指示牌）</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有害垃圾收集箱</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亚克力宣传牌</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240L分类桶</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50L垃圾桶</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40L两分类桶、</w:t>
      </w:r>
      <w:r>
        <w:rPr>
          <w:rFonts w:hint="eastAsia" w:ascii="仿宋" w:hAnsi="仿宋" w:eastAsia="仿宋" w:cs="仿宋"/>
          <w:color w:val="auto"/>
          <w:spacing w:val="-2"/>
          <w:sz w:val="21"/>
          <w:szCs w:val="21"/>
          <w:highlight w:val="none"/>
        </w:rPr>
        <w:t>示范小区指示牌</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培训及宣传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p>
    <w:p w14:paraId="2F16306C">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二、</w:t>
      </w:r>
      <w:r>
        <w:rPr>
          <w:rFonts w:hint="eastAsia" w:ascii="仿宋" w:hAnsi="仿宋" w:eastAsia="仿宋" w:cs="仿宋"/>
          <w:color w:val="auto"/>
          <w:spacing w:val="-2"/>
          <w:sz w:val="21"/>
          <w:szCs w:val="21"/>
          <w:highlight w:val="none"/>
          <w:lang w:val="en-US" w:eastAsia="zh-CN"/>
        </w:rPr>
        <w:t>服务期限</w:t>
      </w:r>
      <w:r>
        <w:rPr>
          <w:rFonts w:hint="eastAsia" w:ascii="仿宋" w:hAnsi="仿宋" w:eastAsia="仿宋" w:cs="仿宋"/>
          <w:color w:val="auto"/>
          <w:spacing w:val="-2"/>
          <w:sz w:val="21"/>
          <w:szCs w:val="21"/>
          <w:highlight w:val="none"/>
        </w:rPr>
        <w:t>：</w:t>
      </w:r>
    </w:p>
    <w:p w14:paraId="569887C2">
      <w:pPr>
        <w:pageBreakBefore w:val="0"/>
        <w:kinsoku/>
        <w:overflowPunct/>
        <w:topLinePunct w:val="0"/>
        <w:bidi w:val="0"/>
        <w:spacing w:beforeAutospacing="0" w:afterAutospacing="0" w:line="440" w:lineRule="exact"/>
        <w:ind w:left="0" w:leftChars="0" w:right="0" w:firstLine="420" w:firstLineChars="200"/>
        <w:rPr>
          <w:rFonts w:hint="eastAsia" w:ascii="仿宋" w:hAnsi="仿宋" w:eastAsia="仿宋" w:cs="仿宋"/>
          <w:color w:val="FF0000"/>
          <w:sz w:val="21"/>
          <w:szCs w:val="21"/>
          <w:highlight w:val="none"/>
        </w:rPr>
      </w:pPr>
      <w:r>
        <w:rPr>
          <w:rFonts w:hint="eastAsia" w:ascii="仿宋_GB2312" w:hAnsi="仿宋_GB2312" w:eastAsia="仿宋_GB2312" w:cs="仿宋_GB2312"/>
          <w:color w:val="auto"/>
          <w:lang w:val="en-US" w:eastAsia="zh-CN"/>
        </w:rPr>
        <w:t>合同签订之日起六个月（硬件设备：自合同签订之日起90天内安装调试到位；服务期三个月，自设备安装完成并验收合格后开始计算</w:t>
      </w:r>
      <w:r>
        <w:rPr>
          <w:rFonts w:ascii="仿宋_GB2312" w:hAnsi="仿宋_GB2312" w:eastAsia="仿宋_GB2312" w:cs="仿宋_GB2312"/>
          <w:color w:val="auto"/>
        </w:rPr>
        <w:t>。</w:t>
      </w:r>
      <w:r>
        <w:rPr>
          <w:rFonts w:hint="eastAsia" w:ascii="仿宋_GB2312" w:hAnsi="仿宋_GB2312" w:eastAsia="仿宋_GB2312" w:cs="仿宋_GB2312"/>
          <w:color w:val="auto"/>
          <w:lang w:val="en-US" w:eastAsia="zh-CN"/>
        </w:rPr>
        <w:t>）</w:t>
      </w:r>
    </w:p>
    <w:p w14:paraId="14ED5D18">
      <w:pPr>
        <w:pageBreakBefore w:val="0"/>
        <w:kinsoku/>
        <w:overflowPunct/>
        <w:topLinePunct w:val="0"/>
        <w:bidi w:val="0"/>
        <w:spacing w:beforeAutospacing="0" w:afterAutospacing="0" w:line="440" w:lineRule="exact"/>
        <w:ind w:right="0"/>
        <w:rPr>
          <w:rFonts w:hint="eastAsia" w:ascii="仿宋" w:hAnsi="仿宋" w:eastAsia="仿宋" w:cs="仿宋"/>
          <w:sz w:val="21"/>
          <w:szCs w:val="21"/>
          <w:highlight w:val="none"/>
          <w:lang w:val="en-US" w:eastAsia="zh-CN"/>
        </w:rPr>
      </w:pPr>
      <w:r>
        <w:rPr>
          <w:rFonts w:hint="eastAsia" w:ascii="仿宋" w:hAnsi="仿宋" w:eastAsia="仿宋" w:cs="仿宋"/>
          <w:b/>
          <w:bCs/>
          <w:spacing w:val="-1"/>
          <w:sz w:val="21"/>
          <w:szCs w:val="21"/>
          <w:highlight w:val="none"/>
          <w:lang w:val="en-US" w:eastAsia="zh-CN"/>
        </w:rPr>
        <w:t xml:space="preserve"> </w:t>
      </w:r>
      <w:r>
        <w:rPr>
          <w:rFonts w:hint="eastAsia" w:ascii="仿宋" w:hAnsi="仿宋" w:eastAsia="仿宋" w:cs="仿宋"/>
          <w:sz w:val="21"/>
          <w:szCs w:val="21"/>
          <w:highlight w:val="none"/>
          <w:lang w:val="en-US" w:eastAsia="zh-CN"/>
        </w:rPr>
        <w:t>三、标的数量</w:t>
      </w:r>
    </w:p>
    <w:tbl>
      <w:tblPr>
        <w:tblStyle w:val="4"/>
        <w:tblW w:w="8643"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934"/>
        <w:gridCol w:w="3219"/>
        <w:gridCol w:w="1104"/>
        <w:gridCol w:w="851"/>
        <w:gridCol w:w="1320"/>
        <w:gridCol w:w="1215"/>
      </w:tblGrid>
      <w:tr w14:paraId="45224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6" w:hRule="atLeast"/>
        </w:trPr>
        <w:tc>
          <w:tcPr>
            <w:tcW w:w="934" w:type="dxa"/>
            <w:noWrap w:val="0"/>
            <w:tcMar>
              <w:left w:w="108" w:type="dxa"/>
              <w:right w:w="108" w:type="dxa"/>
            </w:tcMar>
            <w:vAlign w:val="center"/>
          </w:tcPr>
          <w:p w14:paraId="0D8A13F2">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序号</w:t>
            </w:r>
          </w:p>
        </w:tc>
        <w:tc>
          <w:tcPr>
            <w:tcW w:w="3219" w:type="dxa"/>
            <w:noWrap w:val="0"/>
            <w:tcMar>
              <w:left w:w="108" w:type="dxa"/>
              <w:right w:w="108" w:type="dxa"/>
            </w:tcMar>
            <w:vAlign w:val="center"/>
          </w:tcPr>
          <w:p w14:paraId="0D705B83">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名称</w:t>
            </w:r>
          </w:p>
        </w:tc>
        <w:tc>
          <w:tcPr>
            <w:tcW w:w="1104" w:type="dxa"/>
            <w:noWrap w:val="0"/>
            <w:vAlign w:val="center"/>
          </w:tcPr>
          <w:p w14:paraId="36A096D6">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数量</w:t>
            </w:r>
          </w:p>
        </w:tc>
        <w:tc>
          <w:tcPr>
            <w:tcW w:w="851" w:type="dxa"/>
            <w:noWrap w:val="0"/>
            <w:vAlign w:val="center"/>
          </w:tcPr>
          <w:p w14:paraId="20630814">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b/>
                <w:color w:val="auto"/>
                <w:kern w:val="0"/>
                <w:szCs w:val="21"/>
                <w:highlight w:val="none"/>
                <w:lang w:val="en-US" w:eastAsia="zh-CN"/>
              </w:rPr>
            </w:pPr>
            <w:r>
              <w:rPr>
                <w:rFonts w:hint="eastAsia" w:ascii="仿宋" w:hAnsi="仿宋" w:eastAsia="仿宋" w:cs="仿宋"/>
                <w:b/>
                <w:color w:val="auto"/>
                <w:kern w:val="0"/>
                <w:szCs w:val="21"/>
                <w:highlight w:val="none"/>
                <w:lang w:val="en-US" w:eastAsia="zh-CN"/>
              </w:rPr>
              <w:t>单位</w:t>
            </w:r>
          </w:p>
        </w:tc>
        <w:tc>
          <w:tcPr>
            <w:tcW w:w="1320" w:type="dxa"/>
            <w:noWrap w:val="0"/>
            <w:vAlign w:val="center"/>
          </w:tcPr>
          <w:p w14:paraId="229621E1">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单价（元）</w:t>
            </w:r>
          </w:p>
        </w:tc>
        <w:tc>
          <w:tcPr>
            <w:tcW w:w="1215" w:type="dxa"/>
            <w:noWrap w:val="0"/>
            <w:vAlign w:val="center"/>
          </w:tcPr>
          <w:p w14:paraId="2A89BC13">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小计（元）</w:t>
            </w:r>
          </w:p>
        </w:tc>
      </w:tr>
      <w:tr w14:paraId="253EF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81" w:hRule="atLeast"/>
        </w:trPr>
        <w:tc>
          <w:tcPr>
            <w:tcW w:w="934" w:type="dxa"/>
            <w:noWrap w:val="0"/>
            <w:tcMar>
              <w:left w:w="108" w:type="dxa"/>
              <w:right w:w="108" w:type="dxa"/>
            </w:tcMar>
            <w:vAlign w:val="center"/>
          </w:tcPr>
          <w:p w14:paraId="0A358C2D">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1</w:t>
            </w:r>
          </w:p>
        </w:tc>
        <w:tc>
          <w:tcPr>
            <w:tcW w:w="3219" w:type="dxa"/>
            <w:noWrap w:val="0"/>
            <w:tcMar>
              <w:left w:w="108" w:type="dxa"/>
              <w:right w:w="108" w:type="dxa"/>
            </w:tcMar>
            <w:vAlign w:val="center"/>
          </w:tcPr>
          <w:p w14:paraId="4639F3B4">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kern w:val="0"/>
                <w:szCs w:val="21"/>
                <w:highlight w:val="none"/>
              </w:rPr>
            </w:pPr>
          </w:p>
        </w:tc>
        <w:tc>
          <w:tcPr>
            <w:tcW w:w="1104" w:type="dxa"/>
            <w:noWrap w:val="0"/>
            <w:vAlign w:val="center"/>
          </w:tcPr>
          <w:p w14:paraId="42AFAC6E">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851" w:type="dxa"/>
            <w:noWrap w:val="0"/>
            <w:vAlign w:val="center"/>
          </w:tcPr>
          <w:p w14:paraId="7E67D50E">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320" w:type="dxa"/>
            <w:noWrap w:val="0"/>
            <w:vAlign w:val="center"/>
          </w:tcPr>
          <w:p w14:paraId="060135F9">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215" w:type="dxa"/>
            <w:noWrap w:val="0"/>
            <w:vAlign w:val="center"/>
          </w:tcPr>
          <w:p w14:paraId="175FE3D4">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r>
      <w:tr w14:paraId="6688B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11" w:hRule="atLeast"/>
        </w:trPr>
        <w:tc>
          <w:tcPr>
            <w:tcW w:w="934" w:type="dxa"/>
            <w:noWrap w:val="0"/>
            <w:tcMar>
              <w:left w:w="108" w:type="dxa"/>
              <w:right w:w="108" w:type="dxa"/>
            </w:tcMar>
            <w:vAlign w:val="center"/>
          </w:tcPr>
          <w:p w14:paraId="4B9B74B6">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2</w:t>
            </w:r>
          </w:p>
        </w:tc>
        <w:tc>
          <w:tcPr>
            <w:tcW w:w="3219" w:type="dxa"/>
            <w:noWrap w:val="0"/>
            <w:tcMar>
              <w:left w:w="108" w:type="dxa"/>
              <w:right w:w="108" w:type="dxa"/>
            </w:tcMar>
            <w:vAlign w:val="center"/>
          </w:tcPr>
          <w:p w14:paraId="21A41160">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104" w:type="dxa"/>
            <w:noWrap w:val="0"/>
            <w:vAlign w:val="center"/>
          </w:tcPr>
          <w:p w14:paraId="0C752402">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851" w:type="dxa"/>
            <w:noWrap w:val="0"/>
            <w:vAlign w:val="center"/>
          </w:tcPr>
          <w:p w14:paraId="3D8D72E1">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320" w:type="dxa"/>
            <w:noWrap w:val="0"/>
            <w:vAlign w:val="center"/>
          </w:tcPr>
          <w:p w14:paraId="534CA0FB">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215" w:type="dxa"/>
            <w:noWrap w:val="0"/>
            <w:vAlign w:val="center"/>
          </w:tcPr>
          <w:p w14:paraId="21EF2461">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r>
      <w:tr w14:paraId="391BAA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11" w:hRule="atLeast"/>
        </w:trPr>
        <w:tc>
          <w:tcPr>
            <w:tcW w:w="934" w:type="dxa"/>
            <w:noWrap w:val="0"/>
            <w:tcMar>
              <w:left w:w="108" w:type="dxa"/>
              <w:right w:w="108" w:type="dxa"/>
            </w:tcMar>
            <w:vAlign w:val="center"/>
          </w:tcPr>
          <w:p w14:paraId="514B9C5A">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3</w:t>
            </w:r>
          </w:p>
        </w:tc>
        <w:tc>
          <w:tcPr>
            <w:tcW w:w="3219" w:type="dxa"/>
            <w:noWrap w:val="0"/>
            <w:tcMar>
              <w:left w:w="108" w:type="dxa"/>
              <w:right w:w="108" w:type="dxa"/>
            </w:tcMar>
            <w:vAlign w:val="center"/>
          </w:tcPr>
          <w:p w14:paraId="162C5886">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104" w:type="dxa"/>
            <w:noWrap w:val="0"/>
            <w:vAlign w:val="center"/>
          </w:tcPr>
          <w:p w14:paraId="206FB1F3">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851" w:type="dxa"/>
            <w:noWrap w:val="0"/>
            <w:vAlign w:val="center"/>
          </w:tcPr>
          <w:p w14:paraId="14895557">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320" w:type="dxa"/>
            <w:noWrap w:val="0"/>
            <w:vAlign w:val="center"/>
          </w:tcPr>
          <w:p w14:paraId="6F238510">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215" w:type="dxa"/>
            <w:noWrap w:val="0"/>
            <w:vAlign w:val="center"/>
          </w:tcPr>
          <w:p w14:paraId="114595D4">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r>
      <w:tr w14:paraId="30A0CF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11" w:hRule="atLeast"/>
        </w:trPr>
        <w:tc>
          <w:tcPr>
            <w:tcW w:w="934" w:type="dxa"/>
            <w:noWrap w:val="0"/>
            <w:tcMar>
              <w:left w:w="108" w:type="dxa"/>
              <w:right w:w="108" w:type="dxa"/>
            </w:tcMar>
            <w:vAlign w:val="center"/>
          </w:tcPr>
          <w:p w14:paraId="784D791E">
            <w:pPr>
              <w:pageBreakBefore w:val="0"/>
              <w:kinsoku/>
              <w:overflowPunct/>
              <w:topLinePunct w:val="0"/>
              <w:bidi w:val="0"/>
              <w:snapToGrid w:val="0"/>
              <w:spacing w:beforeAutospacing="0" w:afterAutospacing="0" w:line="440" w:lineRule="exact"/>
              <w:ind w:left="0" w:leftChars="0" w:right="0"/>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w:t>
            </w:r>
          </w:p>
        </w:tc>
        <w:tc>
          <w:tcPr>
            <w:tcW w:w="3219" w:type="dxa"/>
            <w:noWrap w:val="0"/>
            <w:tcMar>
              <w:left w:w="108" w:type="dxa"/>
              <w:right w:w="108" w:type="dxa"/>
            </w:tcMar>
            <w:vAlign w:val="center"/>
          </w:tcPr>
          <w:p w14:paraId="18579585">
            <w:pPr>
              <w:pageBreakBefore w:val="0"/>
              <w:kinsoku/>
              <w:overflowPunct/>
              <w:topLinePunct w:val="0"/>
              <w:bidi w:val="0"/>
              <w:snapToGrid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104" w:type="dxa"/>
            <w:noWrap w:val="0"/>
            <w:vAlign w:val="center"/>
          </w:tcPr>
          <w:p w14:paraId="49DBBEB6">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851" w:type="dxa"/>
            <w:noWrap w:val="0"/>
            <w:vAlign w:val="center"/>
          </w:tcPr>
          <w:p w14:paraId="5BB5FD5B">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320" w:type="dxa"/>
            <w:noWrap w:val="0"/>
            <w:vAlign w:val="center"/>
          </w:tcPr>
          <w:p w14:paraId="7D1C837D">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c>
          <w:tcPr>
            <w:tcW w:w="1215" w:type="dxa"/>
            <w:noWrap w:val="0"/>
            <w:vAlign w:val="center"/>
          </w:tcPr>
          <w:p w14:paraId="7A8342B0">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szCs w:val="21"/>
                <w:highlight w:val="none"/>
              </w:rPr>
            </w:pPr>
          </w:p>
        </w:tc>
      </w:tr>
    </w:tbl>
    <w:p w14:paraId="21B42B7B">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4"/>
          <w:sz w:val="21"/>
          <w:szCs w:val="21"/>
          <w:highlight w:val="none"/>
          <w:lang w:val="en-US" w:eastAsia="zh-CN"/>
        </w:rPr>
        <w:t>四</w:t>
      </w:r>
      <w:r>
        <w:rPr>
          <w:rFonts w:hint="eastAsia" w:ascii="仿宋" w:hAnsi="仿宋" w:eastAsia="仿宋" w:cs="仿宋"/>
          <w:spacing w:val="-4"/>
          <w:sz w:val="21"/>
          <w:szCs w:val="21"/>
          <w:highlight w:val="none"/>
        </w:rPr>
        <w:t>、</w:t>
      </w:r>
      <w:r>
        <w:rPr>
          <w:rFonts w:hint="eastAsia" w:ascii="仿宋" w:hAnsi="仿宋" w:eastAsia="仿宋" w:cs="仿宋"/>
          <w:spacing w:val="-4"/>
          <w:sz w:val="21"/>
          <w:szCs w:val="21"/>
          <w:highlight w:val="none"/>
          <w:lang w:val="en-US" w:eastAsia="zh-CN"/>
        </w:rPr>
        <w:t>合同价款</w:t>
      </w:r>
      <w:r>
        <w:rPr>
          <w:rFonts w:hint="eastAsia" w:ascii="仿宋" w:hAnsi="仿宋" w:eastAsia="仿宋" w:cs="仿宋"/>
          <w:spacing w:val="-4"/>
          <w:sz w:val="21"/>
          <w:szCs w:val="21"/>
          <w:highlight w:val="none"/>
        </w:rPr>
        <w:t>：</w:t>
      </w:r>
    </w:p>
    <w:p w14:paraId="17F645D2">
      <w:pPr>
        <w:pageBreakBefore w:val="0"/>
        <w:kinsoku/>
        <w:overflowPunct/>
        <w:topLinePunct w:val="0"/>
        <w:bidi w:val="0"/>
        <w:spacing w:beforeAutospacing="0" w:afterAutospacing="0" w:line="440" w:lineRule="exact"/>
        <w:ind w:left="0" w:leftChars="0" w:right="0"/>
        <w:rPr>
          <w:rFonts w:hint="eastAsia" w:ascii="仿宋" w:hAnsi="仿宋" w:eastAsia="仿宋" w:cs="仿宋"/>
          <w:spacing w:val="-3"/>
          <w:sz w:val="21"/>
          <w:szCs w:val="21"/>
          <w:highlight w:val="none"/>
          <w:lang w:val="en-US" w:eastAsia="zh-CN"/>
        </w:rPr>
      </w:pPr>
      <w:r>
        <w:rPr>
          <w:rFonts w:hint="eastAsia" w:ascii="仿宋" w:hAnsi="仿宋" w:eastAsia="仿宋" w:cs="仿宋"/>
          <w:spacing w:val="-3"/>
          <w:sz w:val="21"/>
          <w:szCs w:val="21"/>
          <w:highlight w:val="none"/>
        </w:rPr>
        <w:t>（一）、</w:t>
      </w:r>
      <w:r>
        <w:rPr>
          <w:rFonts w:hint="eastAsia" w:ascii="仿宋" w:hAnsi="仿宋" w:eastAsia="仿宋" w:cs="仿宋"/>
          <w:spacing w:val="-3"/>
          <w:sz w:val="21"/>
          <w:szCs w:val="21"/>
          <w:highlight w:val="none"/>
          <w:lang w:val="en-US" w:eastAsia="zh-CN"/>
        </w:rPr>
        <w:t>合同金额</w:t>
      </w:r>
    </w:p>
    <w:p w14:paraId="1486DEFE">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本项目</w:t>
      </w:r>
      <w:r>
        <w:rPr>
          <w:rFonts w:hint="eastAsia" w:ascii="仿宋" w:hAnsi="仿宋" w:eastAsia="仿宋" w:cs="仿宋"/>
          <w:spacing w:val="-4"/>
          <w:sz w:val="21"/>
          <w:szCs w:val="21"/>
          <w:highlight w:val="none"/>
          <w:lang w:val="en-US" w:eastAsia="zh-CN"/>
        </w:rPr>
        <w:t>合同金额</w:t>
      </w:r>
      <w:r>
        <w:rPr>
          <w:rFonts w:hint="eastAsia" w:ascii="仿宋" w:hAnsi="仿宋" w:eastAsia="仿宋" w:cs="仿宋"/>
          <w:spacing w:val="-4"/>
          <w:sz w:val="21"/>
          <w:szCs w:val="21"/>
          <w:highlight w:val="none"/>
        </w:rPr>
        <w:t>共计：</w:t>
      </w:r>
      <w:r>
        <w:rPr>
          <w:rFonts w:hint="eastAsia" w:ascii="仿宋" w:hAnsi="仿宋" w:eastAsia="仿宋" w:cs="仿宋"/>
          <w:spacing w:val="-95"/>
          <w:sz w:val="21"/>
          <w:szCs w:val="21"/>
          <w:highlight w:val="none"/>
        </w:rPr>
        <w:t xml:space="preserve"> </w:t>
      </w:r>
      <w:r>
        <w:rPr>
          <w:rFonts w:hint="eastAsia" w:ascii="仿宋" w:hAnsi="仿宋" w:eastAsia="仿宋" w:cs="仿宋"/>
          <w:sz w:val="21"/>
          <w:szCs w:val="21"/>
          <w:highlight w:val="none"/>
          <w:u w:val="single" w:color="auto"/>
        </w:rPr>
        <w:t xml:space="preserve">        </w:t>
      </w:r>
      <w:r>
        <w:rPr>
          <w:rFonts w:hint="eastAsia" w:ascii="仿宋" w:hAnsi="仿宋" w:eastAsia="仿宋" w:cs="仿宋"/>
          <w:spacing w:val="-109"/>
          <w:sz w:val="21"/>
          <w:szCs w:val="21"/>
          <w:highlight w:val="none"/>
        </w:rPr>
        <w:t xml:space="preserve"> </w:t>
      </w:r>
      <w:r>
        <w:rPr>
          <w:rFonts w:hint="eastAsia" w:ascii="仿宋" w:hAnsi="仿宋" w:eastAsia="仿宋" w:cs="仿宋"/>
          <w:spacing w:val="-4"/>
          <w:sz w:val="21"/>
          <w:szCs w:val="21"/>
          <w:highlight w:val="none"/>
        </w:rPr>
        <w:t>元</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pacing w:val="-4"/>
          <w:sz w:val="21"/>
          <w:szCs w:val="21"/>
          <w:highlight w:val="none"/>
        </w:rPr>
        <w:t>（大写：人民币</w:t>
      </w:r>
      <w:r>
        <w:rPr>
          <w:rFonts w:hint="eastAsia" w:ascii="仿宋" w:hAnsi="仿宋" w:eastAsia="仿宋" w:cs="仿宋"/>
          <w:sz w:val="21"/>
          <w:szCs w:val="21"/>
          <w:highlight w:val="none"/>
          <w:u w:val="single" w:color="auto"/>
        </w:rPr>
        <w:t xml:space="preserve">        </w:t>
      </w:r>
      <w:r>
        <w:rPr>
          <w:rFonts w:hint="eastAsia" w:ascii="仿宋" w:hAnsi="仿宋" w:eastAsia="仿宋" w:cs="仿宋"/>
          <w:spacing w:val="-109"/>
          <w:sz w:val="21"/>
          <w:szCs w:val="21"/>
          <w:highlight w:val="none"/>
        </w:rPr>
        <w:t xml:space="preserve"> </w:t>
      </w:r>
      <w:r>
        <w:rPr>
          <w:rFonts w:hint="eastAsia" w:ascii="仿宋" w:hAnsi="仿宋" w:eastAsia="仿宋" w:cs="仿宋"/>
          <w:spacing w:val="-5"/>
          <w:sz w:val="21"/>
          <w:szCs w:val="21"/>
          <w:highlight w:val="none"/>
        </w:rPr>
        <w:t>）。 合同总价为</w:t>
      </w:r>
      <w:r>
        <w:rPr>
          <w:rFonts w:hint="eastAsia" w:ascii="仿宋" w:hAnsi="仿宋" w:eastAsia="仿宋" w:cs="仿宋"/>
          <w:sz w:val="21"/>
          <w:szCs w:val="21"/>
          <w:highlight w:val="none"/>
        </w:rPr>
        <w:t>包干价，包含本合同期内</w:t>
      </w:r>
      <w:r>
        <w:rPr>
          <w:rFonts w:hint="eastAsia" w:ascii="仿宋" w:hAnsi="仿宋" w:eastAsia="仿宋" w:cs="仿宋"/>
          <w:sz w:val="21"/>
          <w:szCs w:val="21"/>
          <w:highlight w:val="none"/>
          <w:lang w:val="en-US" w:eastAsia="zh-CN"/>
        </w:rPr>
        <w:t>货物和</w:t>
      </w:r>
      <w:r>
        <w:rPr>
          <w:rFonts w:hint="eastAsia" w:ascii="仿宋" w:hAnsi="仿宋" w:eastAsia="仿宋" w:cs="仿宋"/>
          <w:sz w:val="21"/>
          <w:szCs w:val="21"/>
          <w:highlight w:val="none"/>
        </w:rPr>
        <w:t>服务</w:t>
      </w:r>
      <w:r>
        <w:rPr>
          <w:rFonts w:hint="eastAsia" w:ascii="仿宋" w:hAnsi="仿宋" w:eastAsia="仿宋" w:cs="仿宋"/>
          <w:sz w:val="21"/>
          <w:szCs w:val="21"/>
          <w:highlight w:val="none"/>
          <w:lang w:val="en-US" w:eastAsia="zh-CN"/>
        </w:rPr>
        <w:t>的</w:t>
      </w:r>
      <w:r>
        <w:rPr>
          <w:rFonts w:hint="eastAsia" w:ascii="仿宋" w:hAnsi="仿宋" w:eastAsia="仿宋" w:cs="仿宋"/>
          <w:sz w:val="21"/>
          <w:szCs w:val="21"/>
          <w:highlight w:val="none"/>
        </w:rPr>
        <w:t>全部内容，</w:t>
      </w:r>
      <w:r>
        <w:rPr>
          <w:rFonts w:hint="eastAsia" w:ascii="仿宋" w:hAnsi="仿宋" w:eastAsia="仿宋" w:cs="仿宋"/>
          <w:spacing w:val="-1"/>
          <w:sz w:val="21"/>
          <w:szCs w:val="21"/>
          <w:highlight w:val="none"/>
        </w:rPr>
        <w:t>不受市场价变化的影响。</w:t>
      </w:r>
    </w:p>
    <w:p w14:paraId="109D0530">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（二）、付款方式：</w:t>
      </w:r>
    </w:p>
    <w:p w14:paraId="018FE590">
      <w:pPr>
        <w:pageBreakBefore w:val="0"/>
        <w:kinsoku/>
        <w:overflowPunct/>
        <w:topLinePunct w:val="0"/>
        <w:bidi w:val="0"/>
        <w:spacing w:beforeAutospacing="0" w:afterAutospacing="0" w:line="440" w:lineRule="exact"/>
        <w:ind w:left="0" w:leftChars="0" w:right="0" w:firstLine="412" w:firstLineChars="200"/>
        <w:rPr>
          <w:rFonts w:hint="eastAsia" w:ascii="仿宋" w:hAnsi="仿宋" w:eastAsia="仿宋" w:cs="仿宋"/>
          <w:color w:val="auto"/>
          <w:spacing w:val="-2"/>
          <w:sz w:val="21"/>
          <w:szCs w:val="21"/>
          <w:highlight w:val="none"/>
          <w:lang w:eastAsia="zh-CN"/>
        </w:rPr>
      </w:pPr>
      <w:r>
        <w:rPr>
          <w:rFonts w:hint="eastAsia" w:ascii="仿宋" w:hAnsi="仿宋" w:eastAsia="仿宋" w:cs="仿宋"/>
          <w:color w:val="auto"/>
          <w:spacing w:val="-2"/>
          <w:sz w:val="21"/>
          <w:szCs w:val="21"/>
          <w:highlight w:val="none"/>
        </w:rPr>
        <w:t>1、付款比例</w:t>
      </w:r>
      <w:r>
        <w:rPr>
          <w:rFonts w:hint="eastAsia" w:ascii="仿宋" w:hAnsi="仿宋" w:eastAsia="仿宋" w:cs="仿宋"/>
          <w:color w:val="auto"/>
          <w:spacing w:val="-2"/>
          <w:sz w:val="21"/>
          <w:szCs w:val="21"/>
          <w:highlight w:val="none"/>
          <w:lang w:eastAsia="zh-CN"/>
        </w:rPr>
        <w:t>：</w:t>
      </w:r>
    </w:p>
    <w:p w14:paraId="6F6CF89A">
      <w:pPr>
        <w:pageBreakBefore w:val="0"/>
        <w:kinsoku/>
        <w:overflowPunct/>
        <w:topLinePunct w:val="0"/>
        <w:bidi w:val="0"/>
        <w:spacing w:beforeAutospacing="0" w:afterAutospacing="0" w:line="440" w:lineRule="exact"/>
        <w:ind w:left="0" w:leftChars="0" w:right="0" w:firstLine="412" w:firstLineChars="200"/>
        <w:rPr>
          <w:rFonts w:hint="default" w:ascii="仿宋" w:hAnsi="仿宋" w:eastAsia="仿宋" w:cs="仿宋"/>
          <w:color w:val="auto"/>
          <w:spacing w:val="-2"/>
          <w:sz w:val="21"/>
          <w:szCs w:val="21"/>
          <w:highlight w:val="none"/>
          <w:lang w:val="en-US" w:eastAsia="zh-CN"/>
        </w:rPr>
      </w:pPr>
      <w:r>
        <w:rPr>
          <w:rFonts w:hint="eastAsia" w:ascii="仿宋" w:hAnsi="仿宋" w:eastAsia="仿宋" w:cs="仿宋"/>
          <w:color w:val="auto"/>
          <w:spacing w:val="-2"/>
          <w:sz w:val="21"/>
          <w:szCs w:val="21"/>
          <w:highlight w:val="none"/>
          <w:lang w:val="en-US" w:eastAsia="zh-CN"/>
        </w:rPr>
        <w:t>合同签订后甲方向乙方支付合同总金额的40%，供货及服务结束，且验收合格后支付剩余合同款。</w:t>
      </w:r>
    </w:p>
    <w:p w14:paraId="5FC963AC">
      <w:pPr>
        <w:pageBreakBefore w:val="0"/>
        <w:kinsoku/>
        <w:overflowPunct/>
        <w:topLinePunct w:val="0"/>
        <w:bidi w:val="0"/>
        <w:spacing w:beforeAutospacing="0" w:afterAutospacing="0" w:line="440" w:lineRule="exact"/>
        <w:ind w:left="0" w:leftChars="0" w:right="0" w:firstLine="412"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2、甲方通过银行转账方式向乙方指定账户支付合同价款，乙方应对其提供的银行账户信息的真实性、合法性和关联性负责，如因乙方提供的银行账户信息有误导致甲方错误转款的，视为甲方已按照本合同约定履行了付款义务。</w:t>
      </w:r>
    </w:p>
    <w:p w14:paraId="78BA1078">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（三）结算单位以及发票开具</w:t>
      </w:r>
    </w:p>
    <w:p w14:paraId="65753176">
      <w:pPr>
        <w:pageBreakBefore w:val="0"/>
        <w:kinsoku/>
        <w:overflowPunct/>
        <w:topLinePunct w:val="0"/>
        <w:bidi w:val="0"/>
        <w:spacing w:beforeAutospacing="0" w:afterAutospacing="0" w:line="440" w:lineRule="exact"/>
        <w:ind w:left="0" w:leftChars="0" w:right="0" w:firstLine="416" w:firstLineChars="200"/>
        <w:rPr>
          <w:rFonts w:hint="eastAsia" w:ascii="仿宋" w:hAnsi="仿宋" w:eastAsia="仿宋" w:cs="仿宋"/>
          <w:sz w:val="21"/>
          <w:szCs w:val="21"/>
          <w:highlight w:val="none"/>
        </w:rPr>
      </w:pPr>
      <w:r>
        <w:rPr>
          <w:rFonts w:hint="eastAsia" w:ascii="仿宋" w:hAnsi="仿宋" w:eastAsia="仿宋" w:cs="仿宋"/>
          <w:spacing w:val="-1"/>
          <w:sz w:val="21"/>
          <w:szCs w:val="21"/>
          <w:highlight w:val="none"/>
        </w:rPr>
        <w:t>1.由甲方负责合同价款的审核结算，甲方按照结算金额向乙方付款。</w:t>
      </w:r>
    </w:p>
    <w:p w14:paraId="2DB5CC80">
      <w:pPr>
        <w:pageBreakBefore w:val="0"/>
        <w:kinsoku/>
        <w:overflowPunct/>
        <w:topLinePunct w:val="0"/>
        <w:bidi w:val="0"/>
        <w:spacing w:beforeAutospacing="0" w:afterAutospacing="0" w:line="440" w:lineRule="exact"/>
        <w:ind w:left="0" w:leftChars="0" w:right="0" w:firstLine="483"/>
        <w:rPr>
          <w:rFonts w:hint="eastAsia" w:ascii="仿宋" w:hAnsi="仿宋" w:eastAsia="仿宋" w:cs="仿宋"/>
          <w:sz w:val="21"/>
          <w:szCs w:val="21"/>
          <w:highlight w:val="none"/>
          <w:lang w:eastAsia="zh-CN"/>
        </w:rPr>
      </w:pPr>
      <w:r>
        <w:rPr>
          <w:rFonts w:hint="eastAsia" w:ascii="仿宋" w:hAnsi="仿宋" w:eastAsia="仿宋" w:cs="仿宋"/>
          <w:spacing w:val="-2"/>
          <w:sz w:val="21"/>
          <w:szCs w:val="21"/>
          <w:highlight w:val="none"/>
        </w:rPr>
        <w:t>2.甲方向乙方支付费用前，乙方向甲方开具符</w:t>
      </w:r>
      <w:r>
        <w:rPr>
          <w:rFonts w:hint="eastAsia" w:ascii="仿宋" w:hAnsi="仿宋" w:eastAsia="仿宋" w:cs="仿宋"/>
          <w:spacing w:val="-3"/>
          <w:sz w:val="21"/>
          <w:szCs w:val="21"/>
          <w:highlight w:val="none"/>
        </w:rPr>
        <w:t>合甲方财务部门要求的等额</w:t>
      </w:r>
      <w:r>
        <w:rPr>
          <w:rFonts w:hint="eastAsia" w:ascii="仿宋" w:hAnsi="仿宋" w:eastAsia="仿宋" w:cs="仿宋"/>
          <w:spacing w:val="-2"/>
          <w:sz w:val="21"/>
          <w:szCs w:val="21"/>
          <w:highlight w:val="none"/>
        </w:rPr>
        <w:t>税务发票，如乙方未向甲方开具发票的，甲方有权拒付服务费用，且甲方</w:t>
      </w:r>
      <w:r>
        <w:rPr>
          <w:rFonts w:hint="eastAsia" w:ascii="仿宋" w:hAnsi="仿宋" w:eastAsia="仿宋" w:cs="仿宋"/>
          <w:spacing w:val="-3"/>
          <w:sz w:val="21"/>
          <w:szCs w:val="21"/>
          <w:highlight w:val="none"/>
        </w:rPr>
        <w:t>的拒付行为不</w:t>
      </w:r>
      <w:r>
        <w:rPr>
          <w:rFonts w:hint="eastAsia" w:ascii="仿宋" w:hAnsi="仿宋" w:eastAsia="仿宋" w:cs="仿宋"/>
          <w:spacing w:val="-2"/>
          <w:sz w:val="21"/>
          <w:szCs w:val="21"/>
          <w:highlight w:val="none"/>
        </w:rPr>
        <w:t>应视为违约。</w:t>
      </w:r>
    </w:p>
    <w:p w14:paraId="5E1A7DB2">
      <w:pPr>
        <w:spacing w:before="191" w:line="219" w:lineRule="auto"/>
        <w:ind w:left="8"/>
        <w:outlineLvl w:val="0"/>
        <w:rPr>
          <w:rFonts w:hint="eastAsia" w:ascii="仿宋" w:hAnsi="仿宋" w:eastAsia="仿宋" w:cs="仿宋"/>
          <w:b w:val="0"/>
          <w:bCs w:val="0"/>
          <w:sz w:val="24"/>
          <w:szCs w:val="24"/>
        </w:rPr>
      </w:pPr>
      <w:r>
        <w:rPr>
          <w:rFonts w:hint="eastAsia" w:ascii="仿宋" w:hAnsi="仿宋" w:eastAsia="仿宋" w:cs="仿宋"/>
          <w:b w:val="0"/>
          <w:bCs w:val="0"/>
          <w:spacing w:val="-16"/>
          <w:sz w:val="24"/>
          <w:szCs w:val="24"/>
          <w:lang w:val="en-US" w:eastAsia="zh-CN"/>
        </w:rPr>
        <w:t>五</w:t>
      </w:r>
      <w:r>
        <w:rPr>
          <w:rFonts w:hint="eastAsia" w:ascii="仿宋" w:hAnsi="仿宋" w:eastAsia="仿宋" w:cs="仿宋"/>
          <w:b w:val="0"/>
          <w:bCs w:val="0"/>
          <w:spacing w:val="-16"/>
          <w:sz w:val="24"/>
          <w:szCs w:val="24"/>
        </w:rPr>
        <w:t>、</w:t>
      </w:r>
      <w:r>
        <w:rPr>
          <w:rFonts w:hint="eastAsia" w:ascii="仿宋" w:hAnsi="仿宋" w:eastAsia="仿宋" w:cs="仿宋"/>
          <w:b w:val="0"/>
          <w:bCs w:val="0"/>
          <w:spacing w:val="-45"/>
          <w:sz w:val="24"/>
          <w:szCs w:val="24"/>
        </w:rPr>
        <w:t xml:space="preserve"> </w:t>
      </w:r>
      <w:r>
        <w:rPr>
          <w:rFonts w:hint="eastAsia" w:ascii="仿宋" w:hAnsi="仿宋" w:eastAsia="仿宋" w:cs="仿宋"/>
          <w:b w:val="0"/>
          <w:bCs w:val="0"/>
          <w:spacing w:val="-16"/>
          <w:sz w:val="24"/>
          <w:szCs w:val="24"/>
        </w:rPr>
        <w:t>甲方权利及责任</w:t>
      </w:r>
    </w:p>
    <w:p w14:paraId="36BE4A46">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mc:AlternateContent>
          <mc:Choice Requires="wps">
            <w:drawing>
              <wp:anchor distT="0" distB="0" distL="114300" distR="114300" simplePos="0" relativeHeight="251659264" behindDoc="0" locked="0" layoutInCell="1" allowOverlap="1">
                <wp:simplePos x="0" y="0"/>
                <wp:positionH relativeFrom="column">
                  <wp:posOffset>6276340</wp:posOffset>
                </wp:positionH>
                <wp:positionV relativeFrom="paragraph">
                  <wp:posOffset>204470</wp:posOffset>
                </wp:positionV>
                <wp:extent cx="180975" cy="165735"/>
                <wp:effectExtent l="0" t="0" r="0" b="0"/>
                <wp:wrapNone/>
                <wp:docPr id="1026" name="矩形 1026"/>
                <wp:cNvGraphicFramePr/>
                <a:graphic xmlns:a="http://schemas.openxmlformats.org/drawingml/2006/main">
                  <a:graphicData uri="http://schemas.microsoft.com/office/word/2010/wordprocessingShape">
                    <wps:wsp>
                      <wps:cNvSpPr/>
                      <wps:spPr>
                        <a:xfrm>
                          <a:off x="0" y="0"/>
                          <a:ext cx="180975" cy="165735"/>
                        </a:xfrm>
                        <a:prstGeom prst="rect">
                          <a:avLst/>
                        </a:prstGeom>
                        <a:noFill/>
                        <a:ln>
                          <a:noFill/>
                        </a:ln>
                        <a:effectLst/>
                      </wps:spPr>
                      <wps:txbx>
                        <w:txbxContent>
                          <w:p w14:paraId="69FF0714">
                            <w:pPr>
                              <w:spacing w:before="19"/>
                              <w:ind w:left="20"/>
                              <w:rPr>
                                <w:rFonts w:ascii="宋体" w:hAnsi="宋体" w:eastAsia="宋体" w:cs="宋体"/>
                                <w:sz w:val="17"/>
                                <w:szCs w:val="17"/>
                              </w:rPr>
                            </w:pPr>
                            <w:r>
                              <w:rPr>
                                <w:rFonts w:ascii="宋体" w:hAnsi="宋体" w:eastAsia="宋体" w:cs="宋体"/>
                                <w:color w:val="B46474"/>
                                <w:spacing w:val="-3"/>
                                <w:sz w:val="17"/>
                                <w:szCs w:val="17"/>
                              </w:rPr>
                              <w:t>34'</w:t>
                            </w:r>
                          </w:p>
                        </w:txbxContent>
                      </wps:txbx>
                      <wps:bodyPr lIns="0" tIns="0" rIns="0" bIns="0" upright="1"/>
                    </wps:wsp>
                  </a:graphicData>
                </a:graphic>
              </wp:anchor>
            </w:drawing>
          </mc:Choice>
          <mc:Fallback>
            <w:pict>
              <v:rect id="_x0000_s1026" o:spid="_x0000_s1026" o:spt="1" style="position:absolute;left:0pt;margin-left:494.2pt;margin-top:16.1pt;height:13.05pt;width:14.25pt;z-index:251659264;mso-width-relative:page;mso-height-relative:page;" filled="f" stroked="f" coordsize="21600,21600" o:gfxdata="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JHmKNoAAAAKAQAADwAAAAAAAAABACAAAAAiAAAAZHJzL2Rvd25yZXYueG1sUEsBAhQA&#10;FAAAAAgAh07iQMithHe3AQAAeAMAAA4AAAAAAAAAAQAgAAAAKQEAAGRycy9lMm9Eb2MueG1sUEsF&#10;BgAAAAAGAAYAWQEAAFIFAAAAAA==&#10;">
                <v:path/>
                <v:fill on="f" focussize="0,0"/>
                <v:stroke on="f"/>
                <v:imagedata o:title=""/>
                <o:lock v:ext="edit" aspectratio="f"/>
                <v:textbox inset="0mm,0mm,0mm,0mm">
                  <w:txbxContent>
                    <w:p w14:paraId="69FF0714">
                      <w:pPr>
                        <w:spacing w:before="19"/>
                        <w:ind w:left="20"/>
                        <w:rPr>
                          <w:rFonts w:ascii="宋体" w:hAnsi="宋体" w:eastAsia="宋体" w:cs="宋体"/>
                          <w:sz w:val="17"/>
                          <w:szCs w:val="17"/>
                        </w:rPr>
                      </w:pPr>
                      <w:r>
                        <w:rPr>
                          <w:rFonts w:ascii="宋体" w:hAnsi="宋体" w:eastAsia="宋体" w:cs="宋体"/>
                          <w:color w:val="B46474"/>
                          <w:spacing w:val="-3"/>
                          <w:sz w:val="17"/>
                          <w:szCs w:val="17"/>
                        </w:rPr>
                        <w:t>34'</w:t>
                      </w:r>
                    </w:p>
                  </w:txbxContent>
                </v:textbox>
              </v:rect>
            </w:pict>
          </mc:Fallback>
        </mc:AlternateContent>
      </w:r>
      <w:r>
        <w:rPr>
          <w:rFonts w:hint="eastAsia" w:ascii="仿宋" w:hAnsi="仿宋" w:eastAsia="仿宋" w:cs="仿宋"/>
          <w:spacing w:val="-4"/>
          <w:sz w:val="21"/>
          <w:szCs w:val="21"/>
          <w:highlight w:val="none"/>
          <w:lang w:val="en-US" w:eastAsia="zh-CN"/>
        </w:rPr>
        <w:t>1、对乙方技术服务人员进行资格审查，对其技术能力、工作态度进行考核。对不符合要求的技术服务人员，甲方有权利要求乙方更换。</w:t>
      </w:r>
    </w:p>
    <w:p w14:paraId="65CF4BA6">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2、对乙方履行合同责任和义务的工作计划和工作情况进行监督，对乙方日常工作的质量、安全措施等进行监督，按采购文件约定开展质控考核，对考核不合格的项目要求乙方及时整改并按约定进行处罚。</w:t>
      </w:r>
    </w:p>
    <w:p w14:paraId="6E4F5D8E">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3、尽可能协助乙方协调在服务工作中与相关单位的关系。</w:t>
      </w:r>
    </w:p>
    <w:p w14:paraId="12321AA3">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4、按本合同规定的付款方式支付合同款项。</w:t>
      </w:r>
    </w:p>
    <w:p w14:paraId="717351BB">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5、本合同规定的其他一切权利、义务和责任。</w:t>
      </w:r>
    </w:p>
    <w:p w14:paraId="6082BB91">
      <w:pPr>
        <w:pageBreakBefore w:val="0"/>
        <w:kinsoku/>
        <w:overflowPunct/>
        <w:topLinePunct w:val="0"/>
        <w:bidi w:val="0"/>
        <w:spacing w:beforeAutospacing="0" w:afterAutospacing="0" w:line="440" w:lineRule="exact"/>
        <w:ind w:right="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六、 乙方权利与责任</w:t>
      </w:r>
    </w:p>
    <w:p w14:paraId="37FB7D2E">
      <w:pPr>
        <w:pageBreakBefore w:val="0"/>
        <w:kinsoku/>
        <w:overflowPunct/>
        <w:topLinePunct w:val="0"/>
        <w:bidi w:val="0"/>
        <w:spacing w:beforeAutospacing="0" w:afterAutospacing="0" w:line="440" w:lineRule="exact"/>
        <w:ind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1、设立项目负责人，管理并协调安排项目实施工作。负责监督和落实本方在项目实施过程中未能履行的责任(若故障或问题未能及时解决，或者项目联系人超过24 小时联系不上时，甲方人员可直接联系乙方项目负责人，告知相关情况并要求处理解决)。</w:t>
      </w:r>
    </w:p>
    <w:p w14:paraId="2666665E">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2、有计划地安排符合资格的人员到甲方现场工作，按时高质量履行合同各项责任和义务。</w:t>
      </w:r>
    </w:p>
    <w:p w14:paraId="7EECD9CC">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3、乙方应接受甲方对其合同执行情况、工作完成情况的监督、检查，对不符合要求的工作情况要按甲方要求及时整改。</w:t>
      </w:r>
    </w:p>
    <w:p w14:paraId="6A9DE423">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4、根据本合同约定取得服务费。</w:t>
      </w:r>
    </w:p>
    <w:p w14:paraId="142FE4B0">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5、乙方若要更换项目负责人，需提前5个工作日向甲方提出书面申请征得甲方同意后方可执行。</w:t>
      </w:r>
    </w:p>
    <w:p w14:paraId="70A9D871">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6、乙方由于自己原因造成的安全事故，相应责任及发生的费用全部由乙方承担。</w:t>
      </w:r>
    </w:p>
    <w:p w14:paraId="46DF4FBF">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7、乙方由于自己原因未履行本合同约定的全部或部分责任或义务而造成甲方损失的，相应责任及补救费用全部由乙方承担。</w:t>
      </w:r>
    </w:p>
    <w:p w14:paraId="2AFEB7AD">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8、除甲方书面同意外，乙方不得部分或全部转让其应履行的本合同项下的责任和义务。</w:t>
      </w:r>
    </w:p>
    <w:p w14:paraId="5A6F6642">
      <w:pPr>
        <w:pageBreakBefore w:val="0"/>
        <w:kinsoku/>
        <w:overflowPunct/>
        <w:topLinePunct w:val="0"/>
        <w:bidi w:val="0"/>
        <w:spacing w:beforeAutospacing="0" w:afterAutospacing="0" w:line="440" w:lineRule="exact"/>
        <w:ind w:left="0" w:leftChars="0" w:right="0" w:firstLine="404" w:firstLineChars="200"/>
        <w:rPr>
          <w:rFonts w:hint="eastAsia" w:ascii="仿宋" w:hAnsi="仿宋" w:eastAsia="仿宋" w:cs="仿宋"/>
          <w:spacing w:val="-4"/>
          <w:sz w:val="21"/>
          <w:szCs w:val="21"/>
          <w:highlight w:val="none"/>
          <w:lang w:val="en-US" w:eastAsia="zh-CN"/>
        </w:rPr>
      </w:pPr>
      <w:r>
        <w:rPr>
          <w:rFonts w:hint="eastAsia" w:ascii="仿宋" w:hAnsi="仿宋" w:eastAsia="仿宋" w:cs="仿宋"/>
          <w:spacing w:val="-4"/>
          <w:sz w:val="21"/>
          <w:szCs w:val="21"/>
          <w:highlight w:val="none"/>
          <w:lang w:val="en-US" w:eastAsia="zh-CN"/>
        </w:rPr>
        <w:t>9、本合同规定的其他一切权利、义务和责任。</w:t>
      </w:r>
    </w:p>
    <w:p w14:paraId="1AA9C62B">
      <w:pPr>
        <w:pageBreakBefore w:val="0"/>
        <w:kinsoku/>
        <w:overflowPunct/>
        <w:topLinePunct w:val="0"/>
        <w:bidi w:val="0"/>
        <w:spacing w:beforeAutospacing="0" w:afterAutospacing="0" w:line="440" w:lineRule="exact"/>
        <w:ind w:left="0" w:leftChars="0" w:right="0"/>
        <w:rPr>
          <w:rFonts w:hint="eastAsia" w:ascii="仿宋" w:hAnsi="仿宋" w:eastAsia="仿宋" w:cs="仿宋"/>
          <w:sz w:val="21"/>
          <w:szCs w:val="21"/>
          <w:highlight w:val="none"/>
        </w:rPr>
      </w:pPr>
      <w:r>
        <w:rPr>
          <w:rFonts w:hint="eastAsia" w:ascii="仿宋" w:hAnsi="仿宋" w:eastAsia="仿宋" w:cs="仿宋"/>
          <w:spacing w:val="-4"/>
          <w:sz w:val="21"/>
          <w:szCs w:val="21"/>
          <w:highlight w:val="none"/>
          <w:lang w:val="en-US" w:eastAsia="zh-CN"/>
        </w:rPr>
        <w:t>七</w:t>
      </w:r>
      <w:r>
        <w:rPr>
          <w:rFonts w:hint="eastAsia" w:ascii="仿宋" w:hAnsi="仿宋" w:eastAsia="仿宋" w:cs="仿宋"/>
          <w:spacing w:val="-1"/>
          <w:sz w:val="21"/>
          <w:szCs w:val="21"/>
          <w:highlight w:val="none"/>
        </w:rPr>
        <w:t>、违约责任：</w:t>
      </w:r>
    </w:p>
    <w:p w14:paraId="4E50894D">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1、如果乙方没有按照合同规定的时间提供服务，每延误一周、赔偿费按合同中设备价款的 0.5％计收，直至提供服务为止。误期赔偿费的最高限额为合同总价格的百分之五（5％）。</w:t>
      </w:r>
    </w:p>
    <w:p w14:paraId="5FFE8927">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2、在甲方对乙方违约而采取的任何补救措施不受影响的情况下，甲方可向乙方发出书面违约通知书，提出终止部分或全部合同：</w:t>
      </w:r>
    </w:p>
    <w:p w14:paraId="49E1285A">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right="0" w:firstLine="412" w:firstLineChars="200"/>
        <w:jc w:val="both"/>
        <w:textAlignment w:val="auto"/>
        <w:rPr>
          <w:rFonts w:hint="eastAsia" w:ascii="仿宋" w:hAnsi="仿宋" w:eastAsia="仿宋" w:cs="仿宋"/>
          <w:color w:val="auto"/>
          <w:spacing w:val="-2"/>
          <w:sz w:val="21"/>
          <w:szCs w:val="21"/>
          <w:highlight w:val="none"/>
          <w:lang w:eastAsia="zh-CN"/>
        </w:rPr>
      </w:pPr>
      <w:r>
        <w:rPr>
          <w:rFonts w:hint="eastAsia" w:ascii="仿宋" w:hAnsi="仿宋" w:eastAsia="仿宋" w:cs="仿宋"/>
          <w:color w:val="auto"/>
          <w:spacing w:val="-2"/>
          <w:sz w:val="21"/>
          <w:szCs w:val="21"/>
          <w:highlight w:val="none"/>
        </w:rPr>
        <w:t>（1）如果乙方未能在合同规定的期限内提供全部服务</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或误期赔偿费达到最高限额</w:t>
      </w:r>
      <w:r>
        <w:rPr>
          <w:rFonts w:hint="eastAsia" w:ascii="仿宋" w:hAnsi="仿宋" w:eastAsia="仿宋" w:cs="仿宋"/>
          <w:color w:val="auto"/>
          <w:spacing w:val="-2"/>
          <w:sz w:val="21"/>
          <w:szCs w:val="21"/>
          <w:highlight w:val="none"/>
          <w:lang w:eastAsia="zh-CN"/>
        </w:rPr>
        <w:t>。</w:t>
      </w:r>
    </w:p>
    <w:p w14:paraId="38615229">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right="0" w:firstLine="412" w:firstLineChars="200"/>
        <w:jc w:val="both"/>
        <w:textAlignment w:val="auto"/>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lang w:val="en-US" w:eastAsia="zh-CN"/>
        </w:rPr>
        <w:t>2）</w:t>
      </w:r>
      <w:r>
        <w:rPr>
          <w:rFonts w:hint="eastAsia" w:ascii="仿宋" w:hAnsi="仿宋" w:eastAsia="仿宋" w:cs="仿宋"/>
          <w:color w:val="auto"/>
          <w:spacing w:val="-2"/>
          <w:sz w:val="21"/>
          <w:szCs w:val="21"/>
          <w:highlight w:val="none"/>
        </w:rPr>
        <w:t>如果乙方未能履行合同规定的其它任何义务。</w:t>
      </w:r>
    </w:p>
    <w:p w14:paraId="72977B9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40" w:lineRule="exact"/>
        <w:ind w:left="0" w:leftChars="0" w:right="0" w:firstLine="0" w:firstLineChars="0"/>
        <w:textAlignment w:val="auto"/>
        <w:rPr>
          <w:rFonts w:hint="eastAsia" w:ascii="仿宋" w:hAnsi="仿宋" w:eastAsia="仿宋" w:cs="仿宋"/>
          <w:sz w:val="21"/>
          <w:szCs w:val="21"/>
          <w:highlight w:val="none"/>
        </w:rPr>
      </w:pPr>
      <w:r>
        <w:rPr>
          <w:rFonts w:hint="eastAsia" w:ascii="仿宋" w:hAnsi="仿宋" w:eastAsia="仿宋" w:cs="仿宋"/>
          <w:spacing w:val="-1"/>
          <w:sz w:val="21"/>
          <w:szCs w:val="21"/>
          <w:highlight w:val="none"/>
          <w:lang w:val="en-US" w:eastAsia="zh-CN"/>
        </w:rPr>
        <w:t>八</w:t>
      </w:r>
      <w:r>
        <w:rPr>
          <w:rFonts w:hint="eastAsia" w:ascii="仿宋" w:hAnsi="仿宋" w:eastAsia="仿宋" w:cs="仿宋"/>
          <w:spacing w:val="-1"/>
          <w:sz w:val="21"/>
          <w:szCs w:val="21"/>
          <w:highlight w:val="none"/>
        </w:rPr>
        <w:t>、争议解决方式：</w:t>
      </w:r>
    </w:p>
    <w:p w14:paraId="7CC9338A">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0" w:firstLine="416" w:firstLineChars="200"/>
        <w:textAlignment w:val="auto"/>
        <w:rPr>
          <w:rFonts w:hint="eastAsia" w:ascii="仿宋" w:hAnsi="仿宋" w:eastAsia="仿宋" w:cs="仿宋"/>
          <w:spacing w:val="-1"/>
          <w:sz w:val="21"/>
          <w:szCs w:val="21"/>
          <w:highlight w:val="none"/>
        </w:rPr>
      </w:pPr>
      <w:r>
        <w:rPr>
          <w:rFonts w:hint="eastAsia" w:ascii="仿宋" w:hAnsi="仿宋" w:eastAsia="仿宋" w:cs="仿宋"/>
          <w:spacing w:val="-1"/>
          <w:sz w:val="21"/>
          <w:szCs w:val="21"/>
          <w:highlight w:val="none"/>
        </w:rPr>
        <w:t>因执行本合同所发生的或与本合同有关的一切争议,双方应通过友好协商解决。协商不成的向合同履行地人民法院提起诉讼。</w:t>
      </w:r>
    </w:p>
    <w:p w14:paraId="0287A7E2">
      <w:pPr>
        <w:pageBreakBefore w:val="0"/>
        <w:kinsoku/>
        <w:overflowPunct/>
        <w:topLinePunct w:val="0"/>
        <w:bidi w:val="0"/>
        <w:spacing w:beforeAutospacing="0" w:afterAutospacing="0" w:line="440" w:lineRule="exact"/>
        <w:ind w:right="0"/>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lang w:val="en-US" w:eastAsia="zh-CN"/>
        </w:rPr>
        <w:t>九</w:t>
      </w:r>
      <w:r>
        <w:rPr>
          <w:rFonts w:hint="eastAsia" w:ascii="仿宋" w:hAnsi="仿宋" w:eastAsia="仿宋" w:cs="仿宋"/>
          <w:spacing w:val="-2"/>
          <w:sz w:val="21"/>
          <w:szCs w:val="21"/>
          <w:highlight w:val="none"/>
        </w:rPr>
        <w:t>、合同生效及其它</w:t>
      </w:r>
    </w:p>
    <w:p w14:paraId="0C5F12F7">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1、以下文件属于本合同的组成部分，并与本合同具有同等法律效力：</w:t>
      </w:r>
    </w:p>
    <w:p w14:paraId="07543624">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中标通知书</w:t>
      </w:r>
    </w:p>
    <w:p w14:paraId="65A97D81">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招标文件</w:t>
      </w:r>
    </w:p>
    <w:p w14:paraId="3212065D">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投标文件</w:t>
      </w:r>
    </w:p>
    <w:p w14:paraId="6DE4645A">
      <w:pPr>
        <w:pageBreakBefore w:val="0"/>
        <w:numPr>
          <w:ilvl w:val="0"/>
          <w:numId w:val="2"/>
        </w:numPr>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补充说明：在合同履行过程中，如有其它未尽事项，甲乙双方共同协商达成一致后签订补充合同。</w:t>
      </w:r>
    </w:p>
    <w:p w14:paraId="2B445DEB">
      <w:pPr>
        <w:pageBreakBefore w:val="0"/>
        <w:numPr>
          <w:ilvl w:val="0"/>
          <w:numId w:val="2"/>
        </w:numPr>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054BA4CC">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lang w:val="en-US" w:eastAsia="zh-CN"/>
        </w:rPr>
        <w:t>4</w:t>
      </w:r>
      <w:r>
        <w:rPr>
          <w:rFonts w:hint="eastAsia" w:ascii="仿宋" w:hAnsi="仿宋" w:eastAsia="仿宋" w:cs="仿宋"/>
          <w:spacing w:val="-2"/>
          <w:sz w:val="21"/>
          <w:szCs w:val="21"/>
          <w:highlight w:val="none"/>
        </w:rPr>
        <w:t>、本合同正本一式伍份，甲方执</w:t>
      </w:r>
      <w:r>
        <w:rPr>
          <w:rFonts w:hint="eastAsia" w:ascii="仿宋" w:hAnsi="仿宋" w:eastAsia="仿宋" w:cs="仿宋"/>
          <w:spacing w:val="-2"/>
          <w:sz w:val="21"/>
          <w:szCs w:val="21"/>
          <w:highlight w:val="none"/>
          <w:u w:val="single"/>
          <w:lang w:val="en-US" w:eastAsia="zh-CN"/>
        </w:rPr>
        <w:t xml:space="preserve">   </w:t>
      </w:r>
      <w:r>
        <w:rPr>
          <w:rFonts w:hint="eastAsia" w:ascii="仿宋" w:hAnsi="仿宋" w:eastAsia="仿宋" w:cs="仿宋"/>
          <w:spacing w:val="-2"/>
          <w:sz w:val="21"/>
          <w:szCs w:val="21"/>
          <w:highlight w:val="none"/>
        </w:rPr>
        <w:t>份、乙方执</w:t>
      </w:r>
      <w:r>
        <w:rPr>
          <w:rFonts w:hint="eastAsia" w:ascii="仿宋" w:hAnsi="仿宋" w:eastAsia="仿宋" w:cs="仿宋"/>
          <w:spacing w:val="-2"/>
          <w:sz w:val="21"/>
          <w:szCs w:val="21"/>
          <w:highlight w:val="none"/>
          <w:u w:val="single"/>
          <w:lang w:val="en-US" w:eastAsia="zh-CN"/>
        </w:rPr>
        <w:t xml:space="preserve">   </w:t>
      </w:r>
      <w:r>
        <w:rPr>
          <w:rFonts w:hint="eastAsia" w:ascii="仿宋" w:hAnsi="仿宋" w:eastAsia="仿宋" w:cs="仿宋"/>
          <w:spacing w:val="-2"/>
          <w:sz w:val="21"/>
          <w:szCs w:val="21"/>
          <w:highlight w:val="none"/>
        </w:rPr>
        <w:t>份，富平县财政局备案壹份。</w:t>
      </w:r>
    </w:p>
    <w:p w14:paraId="13DD7C3A">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lang w:val="en-US" w:eastAsia="zh-CN"/>
        </w:rPr>
        <w:t>5</w:t>
      </w:r>
      <w:r>
        <w:rPr>
          <w:rFonts w:hint="eastAsia" w:ascii="仿宋" w:hAnsi="仿宋" w:eastAsia="仿宋" w:cs="仿宋"/>
          <w:spacing w:val="-2"/>
          <w:sz w:val="21"/>
          <w:szCs w:val="21"/>
          <w:highlight w:val="none"/>
        </w:rPr>
        <w:t>、合同由甲乙双方共同签字盖章， 自甲乙双方共同签字盖章之日起生效。</w:t>
      </w:r>
    </w:p>
    <w:p w14:paraId="59CA600D">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（此后无正文）</w:t>
      </w:r>
    </w:p>
    <w:p w14:paraId="71E86180">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p>
    <w:p w14:paraId="0206C201">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p>
    <w:p w14:paraId="6D90ED2F">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p>
    <w:p w14:paraId="0C2E5213">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p>
    <w:p w14:paraId="5F02E7C9">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p>
    <w:p w14:paraId="211AFE6F">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p>
    <w:p w14:paraId="20007285">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签章页：</w:t>
      </w:r>
    </w:p>
    <w:tbl>
      <w:tblPr>
        <w:tblStyle w:val="4"/>
        <w:tblW w:w="494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4172"/>
      </w:tblGrid>
      <w:tr w14:paraId="5CA96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24" w:type="pct"/>
            <w:noWrap/>
            <w:vAlign w:val="center"/>
          </w:tcPr>
          <w:p w14:paraId="347B0D51">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甲  方</w:t>
            </w:r>
          </w:p>
        </w:tc>
        <w:tc>
          <w:tcPr>
            <w:tcW w:w="2475" w:type="pct"/>
            <w:noWrap/>
            <w:vAlign w:val="center"/>
          </w:tcPr>
          <w:p w14:paraId="4B67D498">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乙  方</w:t>
            </w:r>
          </w:p>
        </w:tc>
      </w:tr>
      <w:tr w14:paraId="2D5074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35EEEEC">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（公章）</w:t>
            </w:r>
          </w:p>
        </w:tc>
        <w:tc>
          <w:tcPr>
            <w:tcW w:w="2475" w:type="pct"/>
            <w:noWrap/>
            <w:vAlign w:val="center"/>
          </w:tcPr>
          <w:p w14:paraId="64CD7A54">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（公章）</w:t>
            </w:r>
          </w:p>
        </w:tc>
      </w:tr>
      <w:tr w14:paraId="5A5E23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40E4A9A0">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地址：</w:t>
            </w:r>
          </w:p>
        </w:tc>
        <w:tc>
          <w:tcPr>
            <w:tcW w:w="2475" w:type="pct"/>
            <w:noWrap/>
            <w:vAlign w:val="center"/>
          </w:tcPr>
          <w:p w14:paraId="5155E1EF">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地址：</w:t>
            </w:r>
          </w:p>
        </w:tc>
      </w:tr>
      <w:tr w14:paraId="7B60AA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F268209">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邮编：</w:t>
            </w:r>
          </w:p>
        </w:tc>
        <w:tc>
          <w:tcPr>
            <w:tcW w:w="2475" w:type="pct"/>
            <w:noWrap/>
            <w:vAlign w:val="center"/>
          </w:tcPr>
          <w:p w14:paraId="4803E115">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邮编：</w:t>
            </w:r>
          </w:p>
        </w:tc>
      </w:tr>
      <w:tr w14:paraId="74F1EB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51C82105">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法定代表人：</w:t>
            </w:r>
          </w:p>
        </w:tc>
        <w:tc>
          <w:tcPr>
            <w:tcW w:w="2475" w:type="pct"/>
            <w:noWrap/>
            <w:vAlign w:val="center"/>
          </w:tcPr>
          <w:p w14:paraId="05BA5999">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法定代表人：</w:t>
            </w:r>
          </w:p>
        </w:tc>
      </w:tr>
      <w:tr w14:paraId="41B4B2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5DEA864D">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负责人：</w:t>
            </w:r>
          </w:p>
        </w:tc>
        <w:tc>
          <w:tcPr>
            <w:tcW w:w="2475" w:type="pct"/>
            <w:noWrap/>
            <w:vAlign w:val="center"/>
          </w:tcPr>
          <w:p w14:paraId="7B9264D9">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负责人：</w:t>
            </w:r>
          </w:p>
        </w:tc>
      </w:tr>
      <w:tr w14:paraId="622143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5B41DFE4">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电话：</w:t>
            </w:r>
          </w:p>
        </w:tc>
        <w:tc>
          <w:tcPr>
            <w:tcW w:w="2475" w:type="pct"/>
            <w:noWrap/>
            <w:vAlign w:val="center"/>
          </w:tcPr>
          <w:p w14:paraId="406BBD6E">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电话：</w:t>
            </w:r>
          </w:p>
        </w:tc>
      </w:tr>
      <w:tr w14:paraId="217A93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321CF796">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p>
        </w:tc>
        <w:tc>
          <w:tcPr>
            <w:tcW w:w="2475" w:type="pct"/>
            <w:noWrap/>
            <w:vAlign w:val="center"/>
          </w:tcPr>
          <w:p w14:paraId="1A98788D">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开户银行：</w:t>
            </w:r>
          </w:p>
        </w:tc>
      </w:tr>
      <w:tr w14:paraId="1697D6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FE8D9E7">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p>
        </w:tc>
        <w:tc>
          <w:tcPr>
            <w:tcW w:w="2475" w:type="pct"/>
            <w:noWrap/>
            <w:vAlign w:val="center"/>
          </w:tcPr>
          <w:p w14:paraId="489434CB">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账号：</w:t>
            </w:r>
          </w:p>
        </w:tc>
      </w:tr>
      <w:tr w14:paraId="5D3CFC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19889D2B">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日期：   年   月   日</w:t>
            </w:r>
          </w:p>
        </w:tc>
        <w:tc>
          <w:tcPr>
            <w:tcW w:w="2475" w:type="pct"/>
            <w:noWrap/>
            <w:vAlign w:val="center"/>
          </w:tcPr>
          <w:p w14:paraId="7B0BC494">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日期：   年   月   日</w:t>
            </w:r>
          </w:p>
        </w:tc>
      </w:tr>
    </w:tbl>
    <w:p w14:paraId="2BE3918A">
      <w:pPr>
        <w:pStyle w:val="6"/>
        <w:rPr>
          <w:rFonts w:hint="eastAsia" w:ascii="仿宋" w:hAnsi="仿宋" w:eastAsia="仿宋" w:cs="仿宋"/>
          <w:lang w:val="en-US"/>
        </w:rPr>
      </w:pPr>
    </w:p>
    <w:p w14:paraId="4A4E9A0F"/>
    <w:p w14:paraId="3F785E8D">
      <w:bookmarkStart w:id="14" w:name="_GoBack"/>
      <w:bookmarkEnd w:id="14"/>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FF39A"/>
    <w:multiLevelType w:val="singleLevel"/>
    <w:tmpl w:val="A9DFF39A"/>
    <w:lvl w:ilvl="0" w:tentative="0">
      <w:start w:val="2"/>
      <w:numFmt w:val="decimal"/>
      <w:suff w:val="nothing"/>
      <w:lvlText w:val="%1、"/>
      <w:lvlJc w:val="left"/>
    </w:lvl>
  </w:abstractNum>
  <w:abstractNum w:abstractNumId="1">
    <w:nsid w:val="00000000"/>
    <w:multiLevelType w:val="singleLevel"/>
    <w:tmpl w:val="0000000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270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21"/>
    </w:rPr>
  </w:style>
  <w:style w:type="paragraph" w:styleId="3">
    <w:name w:val="Body Text"/>
    <w:basedOn w:val="1"/>
    <w:next w:val="1"/>
    <w:qFormat/>
    <w:uiPriority w:val="0"/>
    <w:pPr>
      <w:jc w:val="center"/>
    </w:pPr>
  </w:style>
  <w:style w:type="paragraph" w:customStyle="1" w:styleId="6">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2025-07-18T07:10:42Z</dcterms:created>
  <dc:creator>Admin</dc:creator>
  <cp:lastModifiedBy>向风而行</cp:lastModifiedBy>
  <dcterms:modified xsi:type="dcterms:W3CDTF">2025-07-18T07:10:48Z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eyJoZGlkIjoiMzNmNGMzZGYyMTM4NjViNzgzOTc0NmU0MzZhYzQ1Y2MiLCJ1c2VySWQiOiIzNzk1NzM3ODkifQ==</vt:lpwstr>
  </property>
  <property fmtid="{D5CDD505-2E9C-101B-9397-08002B2CF9AE}" pid="4" name="ICV">
    <vt:lpwstr>C05A10FC471B46D89675C754A2EE53F5_12</vt:lpwstr>
  </property>
</Properties>
</file>