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版本号：JQ2025-ZFCG-070320250731002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2025年富平县曹村镇柴峪村等6个村水毁道路修复建设项目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JQ2025-ZFCG-0703</w:t>
      </w:r>
      <w:r>
        <w:br/>
      </w:r>
      <w:r>
        <w:br/>
      </w:r>
      <w:r>
        <w:br/>
      </w:r>
    </w:p>
    <w:p>
      <w:pPr>
        <w:pStyle w:val="null3"/>
        <w:jc w:val="center"/>
        <w:outlineLvl w:val="2"/>
      </w:pPr>
      <w:r>
        <w:rPr>
          <w:rFonts w:ascii="仿宋_GB2312" w:hAnsi="仿宋_GB2312" w:cs="仿宋_GB2312" w:eastAsia="仿宋_GB2312"/>
          <w:sz w:val="28"/>
          <w:b/>
        </w:rPr>
        <w:t>富平县曹村镇人民政府（本级）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富平县曹村镇人民政府（本级）</w:t>
      </w:r>
      <w:r>
        <w:rPr>
          <w:rFonts w:ascii="仿宋_GB2312" w:hAnsi="仿宋_GB2312" w:cs="仿宋_GB2312" w:eastAsia="仿宋_GB2312"/>
        </w:rPr>
        <w:t>委托，拟对</w:t>
      </w:r>
      <w:r>
        <w:rPr>
          <w:rFonts w:ascii="仿宋_GB2312" w:hAnsi="仿宋_GB2312" w:cs="仿宋_GB2312" w:eastAsia="仿宋_GB2312"/>
        </w:rPr>
        <w:t>2025年富平县曹村镇柴峪村等6个村水毁道路修复建设项目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JQ2025-ZFCG-0703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2025年富平县曹村镇柴峪村等6个村水毁道路修复建设项目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破除原混凝土路面1064㎡，新修混凝土路面1530㎡，厚度18cm，做3:7灰土基层15cm厚；拆除原护坡700m³，新修浆砌护坡1336m³，土方开挖1176m³，3:7灰土回填584m³，沙砾石回填592m³；新修拱桥1座，护栏拆安58m，铺设DN400混凝土管涵160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采购包1（2025年富平县曹村镇柴峪村等6个村水毁道路修复建设项目）：属于专门面向中小企业采购。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1、法定代表人授权委托书：法定代表人授权委托书原件（附法定代表人、被授权委托人身份证复印件）及被授权委托人身份证原件（法定代表人参加投标只须提供法定代表人身份证）</w:t>
      </w:r>
    </w:p>
    <w:p>
      <w:pPr>
        <w:pStyle w:val="null3"/>
      </w:pPr>
      <w:r>
        <w:rPr>
          <w:rFonts w:ascii="仿宋_GB2312" w:hAnsi="仿宋_GB2312" w:cs="仿宋_GB2312" w:eastAsia="仿宋_GB2312"/>
        </w:rPr>
        <w:t>2、营业执照：具有独立承担民事责任能力的法人、其他组织或自然人，提供合法有效经年检合格的统一社会信用代码营业执照</w:t>
      </w:r>
    </w:p>
    <w:p>
      <w:pPr>
        <w:pStyle w:val="null3"/>
      </w:pPr>
      <w:r>
        <w:rPr>
          <w:rFonts w:ascii="仿宋_GB2312" w:hAnsi="仿宋_GB2312" w:cs="仿宋_GB2312" w:eastAsia="仿宋_GB2312"/>
        </w:rPr>
        <w:t>3、资质证书：须具备市政工程施工总承包三级及以上资质</w:t>
      </w:r>
    </w:p>
    <w:p>
      <w:pPr>
        <w:pStyle w:val="null3"/>
      </w:pPr>
      <w:r>
        <w:rPr>
          <w:rFonts w:ascii="仿宋_GB2312" w:hAnsi="仿宋_GB2312" w:cs="仿宋_GB2312" w:eastAsia="仿宋_GB2312"/>
        </w:rPr>
        <w:t>4、安全生产许可证：须具有建设行政主管部门核发有效的安全生产许可证</w:t>
      </w:r>
    </w:p>
    <w:p>
      <w:pPr>
        <w:pStyle w:val="null3"/>
      </w:pPr>
      <w:r>
        <w:rPr>
          <w:rFonts w:ascii="仿宋_GB2312" w:hAnsi="仿宋_GB2312" w:cs="仿宋_GB2312" w:eastAsia="仿宋_GB2312"/>
        </w:rPr>
        <w:t>5、项目经理：拟派项目经理须具备市政专业二级及以上（含二级）注册建造师执业资格和有效的安全生产考核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6、财务审计报告：须提供（2023年或2024年）经审计的财务报告或开标前六个月内其基本账户银行出具的资信证明</w:t>
      </w:r>
    </w:p>
    <w:p>
      <w:pPr>
        <w:pStyle w:val="null3"/>
      </w:pPr>
      <w:r>
        <w:rPr>
          <w:rFonts w:ascii="仿宋_GB2312" w:hAnsi="仿宋_GB2312" w:cs="仿宋_GB2312" w:eastAsia="仿宋_GB2312"/>
        </w:rPr>
        <w:t>7、税收缴纳证明：须提供依法缴纳税收的良好记录（提供投标截止时间前六个月内任意一个月份的缴费凭据复印件并加盖单位公章或其他相关证明资料）</w:t>
      </w:r>
    </w:p>
    <w:p>
      <w:pPr>
        <w:pStyle w:val="null3"/>
      </w:pPr>
      <w:r>
        <w:rPr>
          <w:rFonts w:ascii="仿宋_GB2312" w:hAnsi="仿宋_GB2312" w:cs="仿宋_GB2312" w:eastAsia="仿宋_GB2312"/>
        </w:rPr>
        <w:t>8、社保缴纳证明：须提供依法缴纳社会保障资金（养老保险）的良好记录（提供投标截止时间前六个月内任意一个月份的缴费凭据复印件并加盖单位公章或其他相关证明资料）</w:t>
      </w:r>
    </w:p>
    <w:p>
      <w:pPr>
        <w:pStyle w:val="null3"/>
      </w:pPr>
      <w:r>
        <w:rPr>
          <w:rFonts w:ascii="仿宋_GB2312" w:hAnsi="仿宋_GB2312" w:cs="仿宋_GB2312" w:eastAsia="仿宋_GB2312"/>
        </w:rPr>
        <w:t>9、网站截图：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p>
      <w:pPr>
        <w:pStyle w:val="null3"/>
      </w:pPr>
      <w:r>
        <w:rPr>
          <w:rFonts w:ascii="仿宋_GB2312" w:hAnsi="仿宋_GB2312" w:cs="仿宋_GB2312" w:eastAsia="仿宋_GB2312"/>
        </w:rPr>
        <w:t>10、近三年内在经营活动中无重大违法记录的书面声明：提供近三年内在经营活动中无重大违法记录的书面声明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11、投标保证金转账凭证或投标保函复印件：提供投标保证金转账凭证或投标保函复印件并加盖单位公章</w:t>
      </w:r>
    </w:p>
    <w:p>
      <w:pPr>
        <w:pStyle w:val="null3"/>
      </w:pPr>
      <w:r>
        <w:rPr>
          <w:rFonts w:ascii="仿宋_GB2312" w:hAnsi="仿宋_GB2312" w:cs="仿宋_GB2312" w:eastAsia="仿宋_GB2312"/>
        </w:rPr>
        <w:t>12、单位负责人为同一人或者存在直接控股、管理关系的不同供应商，不得参加同一合同项下的政府采购 活动的书面声明：单位负责人为同一人或者存在直接控股、管理关系的不同供应商，不得参加同一合同项下的政府采购活动的书面声明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14、按时足额发放农民工工资承诺函：按时足额发放农民工工资承诺函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富平县曹村镇人民政府（本级）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富平县曹村镇街道中段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13554600369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富平县曹村镇人民政府（本级）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富平县曹村镇人民政府（本级）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富平县曹村镇人民政府（本级）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以采购文件及合同约定为准。验收依据：合同文本，招标文件，招标响应文件，工程质量满足国家或行业规范执行合格标准。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2,196,840.57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2025年富平县曹村镇柴峪村等6个村水毁道路修复建设项目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标的名称：2025年富平县曹村镇柴峪村等6个村水毁道路修复建设项目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破除原混凝土路面1064㎡，新修混凝土路面1530㎡，厚度18cm，做3:7灰土基层15cm厚；拆除原护坡700m³，新修浆砌护坡1336m³，土方开挖1176m³，3:7灰土回填584m³，沙砾石回填592m³；新修拱桥1座，护栏拆安58m，铺设DN400混凝土管涵160m。</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工期：合同签订后60个日历天内施工完毕</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质量标准：合格</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5"/>
              </w:rPr>
              <w:t>付款方式：合同签订后，支付合同总价30%作为预付款；工程竣工验收合格后，付至合同总价款的70%；待工程决算审计报告经双方签字盖章确认后，付至审定金额的97%；剩余3%作为质量保证金，于缺陷责任期满后一次性付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须提供（2023年或2024年）经审计的财务报告或开标前六个月内其基本账户银行出具的资信证明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法定代表人授权委托书原件（附法定代表人、被授权委托人身份证复印件）及被授权委托人身份证原件（法定代表人参加投标只须提供法定代表人身份证）</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具有独立承担民事责任能力的法人、其他组织或自然人，提供合法有效经年检合格的统一社会信用代码营业执照</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须具备市政工程施工总承包三级及以上资质</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专业二级及以上（含二级）注册建造师执业资格和有效的安全生产考核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项目管理机构组成表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须提供（2023年或2024年）经审计的财务报告或开标前六个月内其基本账户银行出具的资信证明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须提供依法缴纳税收的良好记录（提供投标截止时间前六个月内任意一个月份的缴费凭据复印件并加盖单位公章或其他相关证明资料）</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须提供依法缴纳社会保障资金（养老保险）的良好记录（提供投标截止时间前六个月内任意一个月份的缴费凭据复印件并加盖单位公章或其他相关证明资料）</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投标保证金转账凭证或投标保函复印件</w:t>
            </w:r>
          </w:p>
        </w:tc>
        <w:tc>
          <w:tcPr>
            <w:tcW w:type="dxa" w:w="3322"/>
          </w:tcPr>
          <w:p>
            <w:pPr>
              <w:pStyle w:val="null3"/>
            </w:pPr>
            <w:r>
              <w:rPr>
                <w:rFonts w:ascii="仿宋_GB2312" w:hAnsi="仿宋_GB2312" w:cs="仿宋_GB2312" w:eastAsia="仿宋_GB2312"/>
              </w:rPr>
              <w:t>提供投标保证金转账凭证或投标保函复印件并加盖单位公章</w:t>
            </w:r>
          </w:p>
        </w:tc>
        <w:tc>
          <w:tcPr>
            <w:tcW w:type="dxa" w:w="1661"/>
          </w:tcPr>
          <w:p>
            <w:pPr>
              <w:pStyle w:val="null3"/>
            </w:pPr>
            <w:r>
              <w:rPr>
                <w:rFonts w:ascii="仿宋_GB2312" w:hAnsi="仿宋_GB2312" w:cs="仿宋_GB2312" w:eastAsia="仿宋_GB2312"/>
              </w:rPr>
              <w:t>供应商应提交的相关资格证明材料 资格审查资料.docx 响应函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 活动的书面声明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按时足额发放农民工工资承诺函</w:t>
            </w:r>
          </w:p>
        </w:tc>
        <w:tc>
          <w:tcPr>
            <w:tcW w:type="dxa" w:w="3322"/>
          </w:tcPr>
          <w:p>
            <w:pPr>
              <w:pStyle w:val="null3"/>
            </w:pPr>
            <w:r>
              <w:rPr>
                <w:rFonts w:ascii="仿宋_GB2312" w:hAnsi="仿宋_GB2312" w:cs="仿宋_GB2312" w:eastAsia="仿宋_GB2312"/>
              </w:rPr>
              <w:t>按时足额发放农民工工资承诺函</w:t>
            </w:r>
          </w:p>
        </w:tc>
        <w:tc>
          <w:tcPr>
            <w:tcW w:type="dxa" w:w="1661"/>
          </w:tcPr>
          <w:p>
            <w:pPr>
              <w:pStyle w:val="null3"/>
            </w:pPr>
            <w:r>
              <w:rPr>
                <w:rFonts w:ascii="仿宋_GB2312" w:hAnsi="仿宋_GB2312" w:cs="仿宋_GB2312" w:eastAsia="仿宋_GB2312"/>
              </w:rPr>
              <w:t>供应商应提交的相关资格证明材料 资格审查资料.docx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资格审查资料.docx 磋商方案及施工组织设计.docx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资格审查资料.docx 磋商方案及施工组织设计.docx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资格审查资料.docx 磋商方案及施工组织设计.docx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资格审查资料.docx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近三年完成的类似业绩一项得1分，最多得3分（提供2022年1月1日至今类似工程；投标文件中须附类似工程业绩中标通知书或合同协议或竣工验收证明材料复印件或扫描件，并加盖公章）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评委根据编制的优劣程度综合评比，1-9分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评委根据编制的优劣程度综合评比，1-10分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评委根据编制的优劣程度综合评比，1-8分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评委根据编制的优劣程度综合评比，1-8分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施工方案及项目部人员组成（项目部人员应附资格证或职称证等）</w:t>
            </w:r>
          </w:p>
        </w:tc>
        <w:tc>
          <w:tcPr>
            <w:tcW w:type="dxa" w:w="2492"/>
          </w:tcPr>
          <w:p>
            <w:pPr>
              <w:pStyle w:val="null3"/>
            </w:pPr>
            <w:r>
              <w:rPr>
                <w:rFonts w:ascii="仿宋_GB2312" w:hAnsi="仿宋_GB2312" w:cs="仿宋_GB2312" w:eastAsia="仿宋_GB2312"/>
              </w:rPr>
              <w:t>评委根据编制的优劣程度综合评比，1-15分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评委根据编制的优劣程度综合评比，1-7分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①评标基准价的确定：经评标委员会对各供应商资格审查合格后，将有效投标价格最低的作为评标基准价，此项得满分；投标报价大于预算价的，为无效报价，应作为无效标处理；最低得分为零分。 ②根据下列公式计算出各供应商的投标报价与评标基准价的差异率。 其他供应商报价得分=(评标基准价／投标报价)×40%×100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详见附件：资格审查资料.docx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详见附件：磋商方案及施工组织设计.docx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