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版本号：SXYZ-CS-WN-2025-00420250726002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湾里村巷道亮化项目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SXYZ-CS-WN-2025-004</w:t>
      </w:r>
      <w:r>
        <w:br/>
      </w:r>
      <w:r>
        <w:br/>
      </w:r>
      <w:r>
        <w:br/>
      </w:r>
    </w:p>
    <w:p>
      <w:pPr>
        <w:pStyle w:val="null3"/>
        <w:jc w:val="center"/>
        <w:outlineLvl w:val="2"/>
      </w:pPr>
      <w:r>
        <w:rPr>
          <w:rFonts w:ascii="仿宋_GB2312" w:hAnsi="仿宋_GB2312" w:cs="仿宋_GB2312" w:eastAsia="仿宋_GB2312"/>
          <w:sz w:val="28"/>
          <w:b/>
        </w:rPr>
        <w:t>富平县薛镇人民政府（本级）</w:t>
      </w:r>
    </w:p>
    <w:p>
      <w:pPr>
        <w:pStyle w:val="null3"/>
        <w:jc w:val="center"/>
        <w:outlineLvl w:val="2"/>
      </w:pPr>
      <w:r>
        <w:rPr>
          <w:rFonts w:ascii="仿宋_GB2312" w:hAnsi="仿宋_GB2312" w:cs="仿宋_GB2312" w:eastAsia="仿宋_GB2312"/>
          <w:sz w:val="28"/>
          <w:b/>
        </w:rPr>
        <w:t>陕西裕泽工程项目管理有限公司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陕西裕泽工程项目管理有限公司</w:t>
      </w:r>
      <w:r>
        <w:rPr>
          <w:rFonts w:ascii="仿宋_GB2312" w:hAnsi="仿宋_GB2312" w:cs="仿宋_GB2312" w:eastAsia="仿宋_GB2312"/>
        </w:rPr>
        <w:t>（以下简称“代理机构”）受</w:t>
      </w:r>
      <w:r>
        <w:rPr>
          <w:rFonts w:ascii="仿宋_GB2312" w:hAnsi="仿宋_GB2312" w:cs="仿宋_GB2312" w:eastAsia="仿宋_GB2312"/>
        </w:rPr>
        <w:t>富平县薛镇人民政府（本级）</w:t>
      </w:r>
      <w:r>
        <w:rPr>
          <w:rFonts w:ascii="仿宋_GB2312" w:hAnsi="仿宋_GB2312" w:cs="仿宋_GB2312" w:eastAsia="仿宋_GB2312"/>
        </w:rPr>
        <w:t>委托，拟对</w:t>
      </w:r>
      <w:r>
        <w:rPr>
          <w:rFonts w:ascii="仿宋_GB2312" w:hAnsi="仿宋_GB2312" w:cs="仿宋_GB2312" w:eastAsia="仿宋_GB2312"/>
        </w:rPr>
        <w:t>湾里村巷道亮化项目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SXYZ-CS-WN-2025-004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湾里村巷道亮化项目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在薛镇湾里村安装6米太阳能路灯320盏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采购包1（湾里村巷道亮化项目）：属于专门面向中小企业采购。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营业执照（或事业法人证）、组织机构代码证、税务登记证或统一社会信用代码的营业执照等证明文件，申请人为自然人的提供身份证；</w:t>
      </w:r>
    </w:p>
    <w:p>
      <w:pPr>
        <w:pStyle w:val="null3"/>
      </w:pPr>
      <w:r>
        <w:rPr>
          <w:rFonts w:ascii="仿宋_GB2312" w:hAnsi="仿宋_GB2312" w:cs="仿宋_GB2312" w:eastAsia="仿宋_GB2312"/>
        </w:rPr>
        <w:t>2、资质证书：供应商须具备建筑工程施工总承包三级及以上资质或市政公用工程施工总承包三级及以上资质或城市及道路照明工程专业承包三级及以上资质，及有效的安全生产许可证；</w:t>
      </w:r>
    </w:p>
    <w:p>
      <w:pPr>
        <w:pStyle w:val="null3"/>
      </w:pPr>
      <w:r>
        <w:rPr>
          <w:rFonts w:ascii="仿宋_GB2312" w:hAnsi="仿宋_GB2312" w:cs="仿宋_GB2312" w:eastAsia="仿宋_GB2312"/>
        </w:rPr>
        <w:t>3、项目经理：拟派项目经理具备建筑工程专业或市政公用工程专业或机电工程专业二级以上（含二级）注册建造师，及有效的安全生产考核合格证书，且无在建项目；</w:t>
      </w:r>
    </w:p>
    <w:p>
      <w:pPr>
        <w:pStyle w:val="null3"/>
      </w:pPr>
      <w:r>
        <w:rPr>
          <w:rFonts w:ascii="仿宋_GB2312" w:hAnsi="仿宋_GB2312" w:cs="仿宋_GB2312" w:eastAsia="仿宋_GB2312"/>
        </w:rPr>
        <w:t>4、法定代表人授权书：供应商应授权合法的人员参加磋商全过程，其中法定代表人直接参加磋商的，须出具法定代表人身份证明书，并与营业执照上信息一致。法定代表人授权代表参加磋商的，须出具法定代表人授权书及授权代表身份证</w:t>
      </w:r>
    </w:p>
    <w:p>
      <w:pPr>
        <w:pStyle w:val="null3"/>
      </w:pPr>
      <w:r>
        <w:rPr>
          <w:rFonts w:ascii="仿宋_GB2312" w:hAnsi="仿宋_GB2312" w:cs="仿宋_GB2312" w:eastAsia="仿宋_GB2312"/>
        </w:rPr>
        <w:t>5、 企业信誉：供应商不得为“信用中国”网站（www.creditchina.gov.cn）中列入失信被执行人和重大税收违法失信主体的供应商，不得为中国政府采购网（www.ccgp.gov.cn ) 政府采购严重违法失信行为记录名单中被财政部门禁止参加政府采购活动的供应商；</w:t>
      </w:r>
    </w:p>
    <w:p>
      <w:pPr>
        <w:pStyle w:val="null3"/>
      </w:pPr>
      <w:r>
        <w:rPr>
          <w:rFonts w:ascii="仿宋_GB2312" w:hAnsi="仿宋_GB2312" w:cs="仿宋_GB2312" w:eastAsia="仿宋_GB2312"/>
        </w:rPr>
        <w:t>6、其他要求：①税收缴纳证明：提供供应商自磋商前一年内已缴纳的至少一个月的纳税证明或完 税证明，依法免税的应提供相关文件证明；②社会保障资金缴纳证明：提供供应商 自磋商前一年内已缴纳的至少一个月的社会保障资金缴存单据或社保机构开具的社 会保险参保缴费情况证明，依法不需要缴纳社会保障资金的单位应提供相关证明材 料； ③具有履行合同所必需的设备和专业技术能力的承诺；④提供本项目政府采 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富平县薛镇人民政府（本级）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富平县薛镇街道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18717437915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陕西裕泽工程项目管理有限公司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陕西省西安市莲湖区陕西省西安市莲湖区西关正街370号开元商住楼三单元2604室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刘琳妮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18891833185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开户名称：陕西裕泽工程项目管理有限公司</w:t>
            </w:r>
          </w:p>
          <w:p>
            <w:pPr>
              <w:pStyle w:val="null3"/>
            </w:pPr>
            <w:r>
              <w:rPr>
                <w:rFonts w:ascii="仿宋_GB2312" w:hAnsi="仿宋_GB2312" w:cs="仿宋_GB2312" w:eastAsia="仿宋_GB2312"/>
              </w:rPr>
              <w:t>开户银行：中国农业银行股份有限公司西安西稍门支行</w:t>
            </w:r>
          </w:p>
          <w:p>
            <w:pPr>
              <w:pStyle w:val="null3"/>
            </w:pPr>
            <w:r>
              <w:rPr>
                <w:rFonts w:ascii="仿宋_GB2312" w:hAnsi="仿宋_GB2312" w:cs="仿宋_GB2312" w:eastAsia="仿宋_GB2312"/>
              </w:rPr>
              <w:t>银行账号：26130101040025198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代理服务费收费标准：招标代理服务费参照国家计委印发《招标代理服务收费管理暂行办法》的通知（计价格〔2002〕1980号）计算，计入工程造价，由成交供应商支付。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富平县薛镇人民政府（本级）</w:t>
      </w:r>
      <w:r>
        <w:rPr>
          <w:rFonts w:ascii="仿宋_GB2312" w:hAnsi="仿宋_GB2312" w:cs="仿宋_GB2312" w:eastAsia="仿宋_GB2312"/>
        </w:rPr>
        <w:t>和</w:t>
      </w:r>
      <w:r>
        <w:rPr>
          <w:rFonts w:ascii="仿宋_GB2312" w:hAnsi="仿宋_GB2312" w:cs="仿宋_GB2312" w:eastAsia="仿宋_GB2312"/>
        </w:rPr>
        <w:t>陕西裕泽工程项目管理有限公司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富平县薛镇人民政府（本级）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陕西裕泽工程项目管理有限公司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富平县薛镇人民政府（本级）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陕西裕泽工程项目管理有限公司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陕西裕泽工程项目管理有限公司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陕西裕泽工程项目管理有限公司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陕西裕泽工程项目管理有限公司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联系人：李向阳</w:t>
      </w:r>
    </w:p>
    <w:p>
      <w:pPr>
        <w:pStyle w:val="null3"/>
      </w:pPr>
      <w:r>
        <w:rPr>
          <w:rFonts w:ascii="仿宋_GB2312" w:hAnsi="仿宋_GB2312" w:cs="仿宋_GB2312" w:eastAsia="仿宋_GB2312"/>
        </w:rPr>
        <w:t>联系电话：15336151897</w:t>
      </w:r>
    </w:p>
    <w:p>
      <w:pPr>
        <w:pStyle w:val="null3"/>
      </w:pPr>
      <w:r>
        <w:rPr>
          <w:rFonts w:ascii="仿宋_GB2312" w:hAnsi="仿宋_GB2312" w:cs="仿宋_GB2312" w:eastAsia="仿宋_GB2312"/>
        </w:rPr>
        <w:t>地址：陕西省渭南市富平县惠民小区东侧七层楼二楼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湾里村巷道亮化项目</w:t>
            </w:r>
          </w:p>
        </w:tc>
        <w:tc>
          <w:tcPr>
            <w:tcW w:type="dxa" w:w="1384"/>
          </w:tcPr>
          <w:p>
            <w:pPr>
              <w:pStyle w:val="null3"/>
              <w:jc w:val="right"/>
            </w:pPr>
            <w:r>
              <w:rPr>
                <w:rFonts w:ascii="仿宋_GB2312" w:hAnsi="仿宋_GB2312" w:cs="仿宋_GB2312" w:eastAsia="仿宋_GB2312"/>
              </w:rPr>
              <w:t>320.00</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pPr>
            <w:r>
              <w:rPr>
                <w:rFonts w:ascii="仿宋_GB2312" w:hAnsi="仿宋_GB2312" w:cs="仿宋_GB2312" w:eastAsia="仿宋_GB2312"/>
              </w:rPr>
              <w:t>盏</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标的名称：湾里村巷道亮化项目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spacing w:before="105"/>
            </w:pPr>
            <w:r>
              <w:rPr>
                <w:rFonts w:ascii="仿宋_GB2312" w:hAnsi="仿宋_GB2312" w:cs="仿宋_GB2312" w:eastAsia="仿宋_GB2312"/>
                <w:sz w:val="18"/>
                <w:color w:val="0000FF"/>
              </w:rPr>
              <w:t>1、本项目工程量清单及图纸详见附件；</w:t>
            </w:r>
          </w:p>
          <w:p>
            <w:pPr>
              <w:pStyle w:val="null3"/>
              <w:numPr>
                <w:ilvl w:val="0"/>
                <w:numId w:val="1"/>
              </w:numPr>
              <w:spacing w:before="105"/>
            </w:pPr>
            <w:r>
              <w:rPr>
                <w:rFonts w:ascii="仿宋_GB2312" w:hAnsi="仿宋_GB2312" w:cs="仿宋_GB2312" w:eastAsia="仿宋_GB2312"/>
                <w:sz w:val="18"/>
                <w:color w:val="0000FF"/>
              </w:rPr>
              <w:t>2、</w:t>
            </w:r>
            <w:r>
              <w:rPr>
                <w:rFonts w:ascii="仿宋_GB2312" w:hAnsi="仿宋_GB2312" w:cs="仿宋_GB2312" w:eastAsia="仿宋_GB2312"/>
                <w:sz w:val="18"/>
                <w:color w:val="0000FF"/>
              </w:rPr>
              <w:t>本项目投标最高限价：</w:t>
            </w:r>
            <w:r>
              <w:rPr>
                <w:rFonts w:ascii="仿宋_GB2312" w:hAnsi="仿宋_GB2312" w:cs="仿宋_GB2312" w:eastAsia="仿宋_GB2312"/>
                <w:sz w:val="19"/>
                <w:color w:val="0000FF"/>
                <w:u w:val="single"/>
              </w:rPr>
              <w:t>1010279.08</w:t>
            </w:r>
            <w:r>
              <w:rPr>
                <w:rFonts w:ascii="仿宋_GB2312" w:hAnsi="仿宋_GB2312" w:cs="仿宋_GB2312" w:eastAsia="仿宋_GB2312"/>
                <w:sz w:val="18"/>
                <w:color w:val="0000FF"/>
                <w:u w:val="single"/>
              </w:rPr>
              <w:t>元</w:t>
            </w:r>
            <w:r>
              <w:rPr>
                <w:rFonts w:ascii="仿宋_GB2312" w:hAnsi="仿宋_GB2312" w:cs="仿宋_GB2312" w:eastAsia="仿宋_GB2312"/>
                <w:sz w:val="18"/>
                <w:color w:val="0000FF"/>
              </w:rPr>
              <w:t>；</w:t>
            </w:r>
          </w:p>
          <w:p>
            <w:pPr>
              <w:pStyle w:val="null3"/>
              <w:numPr>
                <w:ilvl w:val="0"/>
                <w:numId w:val="1"/>
              </w:numPr>
              <w:spacing w:before="105"/>
            </w:pPr>
            <w:r>
              <w:rPr>
                <w:rFonts w:ascii="仿宋_GB2312" w:hAnsi="仿宋_GB2312" w:cs="仿宋_GB2312" w:eastAsia="仿宋_GB2312"/>
                <w:sz w:val="18"/>
                <w:color w:val="0000FF"/>
              </w:rPr>
              <w:t>3、</w:t>
            </w:r>
            <w:r>
              <w:rPr>
                <w:rFonts w:ascii="仿宋_GB2312" w:hAnsi="仿宋_GB2312" w:cs="仿宋_GB2312" w:eastAsia="仿宋_GB2312"/>
                <w:sz w:val="18"/>
                <w:color w:val="0000FF"/>
              </w:rPr>
              <w:t>质量要求：</w:t>
            </w:r>
            <w:r>
              <w:rPr>
                <w:rFonts w:ascii="仿宋_GB2312" w:hAnsi="仿宋_GB2312" w:cs="仿宋_GB2312" w:eastAsia="仿宋_GB2312"/>
                <w:sz w:val="18"/>
                <w:color w:val="0000FF"/>
                <w:u w:val="single"/>
              </w:rPr>
              <w:t>达到国家规范合格标准</w:t>
            </w:r>
            <w:r>
              <w:rPr>
                <w:rFonts w:ascii="仿宋_GB2312" w:hAnsi="仿宋_GB2312" w:cs="仿宋_GB2312" w:eastAsia="仿宋_GB2312"/>
                <w:sz w:val="18"/>
                <w:color w:val="0000FF"/>
              </w:rPr>
              <w:t>；</w:t>
            </w:r>
          </w:p>
          <w:p>
            <w:pPr>
              <w:pStyle w:val="null3"/>
              <w:numPr>
                <w:ilvl w:val="0"/>
                <w:numId w:val="1"/>
              </w:numPr>
              <w:spacing w:before="105"/>
            </w:pPr>
            <w:r>
              <w:rPr>
                <w:rFonts w:ascii="仿宋_GB2312" w:hAnsi="仿宋_GB2312" w:cs="仿宋_GB2312" w:eastAsia="仿宋_GB2312"/>
                <w:sz w:val="18"/>
                <w:color w:val="0000FF"/>
              </w:rPr>
              <w:t>4、</w:t>
            </w:r>
            <w:r>
              <w:rPr>
                <w:rFonts w:ascii="仿宋_GB2312" w:hAnsi="仿宋_GB2312" w:cs="仿宋_GB2312" w:eastAsia="仿宋_GB2312"/>
                <w:sz w:val="18"/>
                <w:color w:val="0000FF"/>
              </w:rPr>
              <w:t>承包方式：</w:t>
            </w:r>
            <w:r>
              <w:rPr>
                <w:rFonts w:ascii="仿宋_GB2312" w:hAnsi="仿宋_GB2312" w:cs="仿宋_GB2312" w:eastAsia="仿宋_GB2312"/>
                <w:sz w:val="18"/>
                <w:color w:val="0000FF"/>
                <w:u w:val="single"/>
              </w:rPr>
              <w:t>综合单价合同，据实结算</w:t>
            </w:r>
            <w:r>
              <w:rPr>
                <w:rFonts w:ascii="仿宋_GB2312" w:hAnsi="仿宋_GB2312" w:cs="仿宋_GB2312" w:eastAsia="仿宋_GB2312"/>
                <w:sz w:val="18"/>
                <w:color w:val="0000FF"/>
              </w:rPr>
              <w:t>。</w:t>
            </w:r>
            <w:r>
              <w:rPr>
                <w:rFonts w:ascii="仿宋_GB2312" w:hAnsi="仿宋_GB2312" w:cs="仿宋_GB2312" w:eastAsia="仿宋_GB2312"/>
                <w:sz w:val="18"/>
                <w:color w:val="FFFFFF"/>
                <w:u w:val="single"/>
              </w:rPr>
              <w:t>zongjia</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其他合格标准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磋商响应文件递交截止时间不足一年的可提供成立后任意时段的资产负债表），或其开标时间前6个月内基本存款账户开户银行出具的资信证明（附基本存款账户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营业执照（或事业法人证）、组织机构代码证、税务登记证或统一社会信用代码的营业执照等证明文件，申请人为自然人的提供身份证；</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供应商须具备建筑工程施工总承包三级及以上资质或市政公用工程施工总承包三级及以上资质或城市及道路照明工程专业承包三级及以上资质，及有效的安全生产许可证；</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拟派项目经理具备建筑工程专业或市政公用工程专业或机电工程专业二级以上（含二级）注册建造师，及有效的安全生产考核合格证书，且无在建项目；</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 )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①税收缴纳证明：提供供应商自磋商前一年内已缴纳的至少一个月的纳税证明或完 税证明，依法免税的应提供相关文件证明；②社会保障资金缴纳证明：提供供应商 自磋商前一年内已缴纳的至少一个月的社会保障资金缴存单据或社保机构开具的社 会保险参保缴费情况证明，依法不需要缴纳社会保障资金的单位应提供相关证明材 料； ③具有履行合同所必需的设备和专业技术能力的承诺；④提供本项目政府采 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文件签署和盖章</w:t>
            </w:r>
          </w:p>
        </w:tc>
        <w:tc>
          <w:tcPr>
            <w:tcW w:type="dxa" w:w="3322"/>
          </w:tcPr>
          <w:p>
            <w:pPr>
              <w:pStyle w:val="null3"/>
            </w:pPr>
            <w:r>
              <w:rPr>
                <w:rFonts w:ascii="仿宋_GB2312" w:hAnsi="仿宋_GB2312" w:cs="仿宋_GB2312" w:eastAsia="仿宋_GB2312"/>
              </w:rPr>
              <w:t>响应文件是否符合采购文件签署和盖章要求。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是否响应招标文件实质性商务要求，是否符合 法律、法规和招标文件规定，无其他无效投标 情形的。</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项目实施协调方案</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主要施工机械设备配备计划</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横向对比，由磋商小组自主赋分，内容丰富全面、科学合理、规范3 . 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横向对比，由磋商小组自主赋分，内容丰富全面、科学合理、规范3 . 1-6分，内容基本 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提供2022年1月至今类似业绩合同，其中类似工程业绩合同每份计2分，满分6分。以合同书为准（提供合同书原件的扫描件并加盖公章，时间以合同签订时间为准）。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满足磋商文件要求且最后报价最低的供应商的价格为磋商基准价，其价格分为满分40分。其他供应商的价格分统一按照下列公式计算：磋商报价得分=（磋商基准价/最后磋商报价）×价格权值（即40%）×100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详见附件：供应商应提交的资格相关证明材料.docx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