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版本号：HSZ2025—CGZB—03020250729002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CT球管维修项目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HSZ2025—CGZB—030</w:t>
      </w:r>
      <w:r>
        <w:br/>
      </w:r>
      <w:r>
        <w:br/>
      </w:r>
      <w:r>
        <w:br/>
      </w:r>
    </w:p>
    <w:p>
      <w:pPr>
        <w:pStyle w:val="null3"/>
        <w:jc w:val="center"/>
        <w:outlineLvl w:val="2"/>
      </w:pPr>
      <w:r>
        <w:rPr>
          <w:rFonts w:ascii="仿宋_GB2312" w:hAnsi="仿宋_GB2312" w:cs="仿宋_GB2312" w:eastAsia="仿宋_GB2312"/>
          <w:sz w:val="28"/>
          <w:b/>
        </w:rPr>
        <w:t>富平县第二人民医院</w:t>
      </w:r>
    </w:p>
    <w:p>
      <w:pPr>
        <w:pStyle w:val="null3"/>
        <w:jc w:val="center"/>
        <w:outlineLvl w:val="2"/>
      </w:pPr>
      <w:r>
        <w:rPr>
          <w:rFonts w:ascii="仿宋_GB2312" w:hAnsi="仿宋_GB2312" w:cs="仿宋_GB2312" w:eastAsia="仿宋_GB2312"/>
          <w:sz w:val="28"/>
          <w:b/>
        </w:rPr>
        <w:t>陕西厷森项目管理有限公司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陕西厷森项目管理有限公司</w:t>
      </w:r>
      <w:r>
        <w:rPr>
          <w:rFonts w:ascii="仿宋_GB2312" w:hAnsi="仿宋_GB2312" w:cs="仿宋_GB2312" w:eastAsia="仿宋_GB2312"/>
        </w:rPr>
        <w:t>（以下简称“代理机构”）受</w:t>
      </w:r>
      <w:r>
        <w:rPr>
          <w:rFonts w:ascii="仿宋_GB2312" w:hAnsi="仿宋_GB2312" w:cs="仿宋_GB2312" w:eastAsia="仿宋_GB2312"/>
        </w:rPr>
        <w:t>富平县第二人民医院</w:t>
      </w:r>
      <w:r>
        <w:rPr>
          <w:rFonts w:ascii="仿宋_GB2312" w:hAnsi="仿宋_GB2312" w:cs="仿宋_GB2312" w:eastAsia="仿宋_GB2312"/>
        </w:rPr>
        <w:t>委托，拟对</w:t>
      </w:r>
      <w:r>
        <w:rPr>
          <w:rFonts w:ascii="仿宋_GB2312" w:hAnsi="仿宋_GB2312" w:cs="仿宋_GB2312" w:eastAsia="仿宋_GB2312"/>
        </w:rPr>
        <w:t>CT球管维修项目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HSZ2025—CGZB—030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CT球管维修项目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维修CT球管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采购包1（CT球管维修项目）：属于专门面向中小企业采购。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提供法定代表人授权委托书（附法定代表人、被授权人身份证复印件）；法定代表人参加投标只须提供法定代表人身份证明（附法定代表人身份证复印件）：提供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3、提供医疗器械经营许可证或经营备案凭证：提供医疗器械经营许可证或经营备案凭证；</w:t>
      </w:r>
    </w:p>
    <w:p>
      <w:pPr>
        <w:pStyle w:val="null3"/>
      </w:pPr>
      <w:r>
        <w:rPr>
          <w:rFonts w:ascii="仿宋_GB2312" w:hAnsi="仿宋_GB2312" w:cs="仿宋_GB2312" w:eastAsia="仿宋_GB2312"/>
        </w:rPr>
        <w:t>4、提供2024年度经审计的财务报告（成立时间至提交磋商响应文件截止时间不足一年的可提供成立后任意时段的财务报表）：提供2024年度经审计的财务报告（成立时间至提交磋商响应文件截止时间不足一年的可提供成立后任意时段的财务报表）；</w:t>
      </w:r>
    </w:p>
    <w:p>
      <w:pPr>
        <w:pStyle w:val="null3"/>
      </w:pPr>
      <w:r>
        <w:rPr>
          <w:rFonts w:ascii="仿宋_GB2312" w:hAnsi="仿宋_GB2312" w:cs="仿宋_GB2312" w:eastAsia="仿宋_GB2312"/>
        </w:rPr>
        <w:t>5、提供依法缴纳税收的良好记录（提供递交磋商响应文件截止时间前六个月内任意一个月份的缴纳凭据复印件并加盖单位公章。依法免税或开标前一年内零申报的供应商应提供相关证明文件）：提供依法缴纳税收的良好记录（提供递交磋商响应文件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6、提供依法缴纳社会保障资金的良好记录（提供递交磋商响应文件截止时间前六个月内任意一个月份的缴纳凭据复印件并加盖单位公章。依法不需要缴纳社会保障资金的供应商应提供相关证明文件）：提供依法缴纳社会保障资金的良好记录（提供递交磋商响应文件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7、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评审现场查询结果为准）：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评审现场查询结果为准）；</w:t>
      </w:r>
    </w:p>
    <w:p>
      <w:pPr>
        <w:pStyle w:val="null3"/>
      </w:pPr>
      <w:r>
        <w:rPr>
          <w:rFonts w:ascii="仿宋_GB2312" w:hAnsi="仿宋_GB2312" w:cs="仿宋_GB2312" w:eastAsia="仿宋_GB2312"/>
        </w:rPr>
        <w:t>8、提供近三年内在经营活动中无重大违法记录的书面声明：提供近三年内在经营活动中无重大违法记录的书面声明；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9、提供磋商保证金银行转账凭证及基本账户信息复印件或金融机构、担保机构出具的保函复印件，复印件均须加盖公章：提供磋商保证金银行转账凭证及基本账户信息复印件或金融机构、担保机构出具的保函复印件，复印件均须加盖公章；</w:t>
      </w:r>
    </w:p>
    <w:p>
      <w:pPr>
        <w:pStyle w:val="null3"/>
      </w:pPr>
      <w:r>
        <w:rPr>
          <w:rFonts w:ascii="仿宋_GB2312" w:hAnsi="仿宋_GB2312" w:cs="仿宋_GB2312" w:eastAsia="仿宋_GB2312"/>
        </w:rPr>
        <w:t>10、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11、提供具有履行本合同所必需的设备和专业技术能力的说明及承诺：提供具有履行本合同所必需的设备和专业技术能力的说明及承诺；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12、本项目专门面向中小企业采购，供应商须提供《中小企业声明函》：本项目专门面向中小企业采购，供应商须提供《中小企业声明函》。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富平县第二人民医院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陕西省渭南市富平县莲湖路86号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13772740550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陕西厷森项目管理有限公司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陕西省渭南市富平县城关街道办事处书店社区富兴路中段西侧商务楼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0913-8921111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开户名称：陕西厷森项目管理有限公司</w:t>
            </w:r>
          </w:p>
          <w:p>
            <w:pPr>
              <w:pStyle w:val="null3"/>
            </w:pPr>
            <w:r>
              <w:rPr>
                <w:rFonts w:ascii="仿宋_GB2312" w:hAnsi="仿宋_GB2312" w:cs="仿宋_GB2312" w:eastAsia="仿宋_GB2312"/>
              </w:rPr>
              <w:t>开户银行：中国农业银行股份有限公司富平县支行</w:t>
            </w:r>
          </w:p>
          <w:p>
            <w:pPr>
              <w:pStyle w:val="null3"/>
            </w:pPr>
            <w:r>
              <w:rPr>
                <w:rFonts w:ascii="仿宋_GB2312" w:hAnsi="仿宋_GB2312" w:cs="仿宋_GB2312" w:eastAsia="仿宋_GB2312"/>
              </w:rPr>
              <w:t>银行账号：26555101040024098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改革委办公厅关于招标代理服务收费有关问题的通知》（发改办价格〔2003〕857号）规定向成交供应商收取代理服务费。若本次招标失败（非代理机构原因），代理服务费由采购人支付。具体代理服务费见中标（成交）结果公告，在领取成交通知书时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富平县第二人民医院</w:t>
      </w:r>
      <w:r>
        <w:rPr>
          <w:rFonts w:ascii="仿宋_GB2312" w:hAnsi="仿宋_GB2312" w:cs="仿宋_GB2312" w:eastAsia="仿宋_GB2312"/>
        </w:rPr>
        <w:t>和</w:t>
      </w:r>
      <w:r>
        <w:rPr>
          <w:rFonts w:ascii="仿宋_GB2312" w:hAnsi="仿宋_GB2312" w:cs="仿宋_GB2312" w:eastAsia="仿宋_GB2312"/>
        </w:rPr>
        <w:t>陕西厷森项目管理有限公司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富平县第二人民医院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陕西厷森项目管理有限公司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富平县第二人民医院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陕西厷森项目管理有限公司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联系人：赵工</w:t>
      </w:r>
    </w:p>
    <w:p>
      <w:pPr>
        <w:pStyle w:val="null3"/>
      </w:pPr>
      <w:r>
        <w:rPr>
          <w:rFonts w:ascii="仿宋_GB2312" w:hAnsi="仿宋_GB2312" w:cs="仿宋_GB2312" w:eastAsia="仿宋_GB2312"/>
        </w:rPr>
        <w:t>联系电话：0913-8921111</w:t>
      </w:r>
    </w:p>
    <w:p>
      <w:pPr>
        <w:pStyle w:val="null3"/>
      </w:pPr>
      <w:r>
        <w:rPr>
          <w:rFonts w:ascii="仿宋_GB2312" w:hAnsi="仿宋_GB2312" w:cs="仿宋_GB2312" w:eastAsia="仿宋_GB2312"/>
        </w:rPr>
        <w:t>地址：陕西省渭南市富平县城关街道办事处书店社区富兴路中段西侧商务楼</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维修CT球管。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CT球管维修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标的名称：CT球管维修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2"/>
                <w:b/>
              </w:rPr>
              <w:t>服务</w:t>
            </w:r>
            <w:r>
              <w:rPr>
                <w:rFonts w:ascii="仿宋_GB2312" w:hAnsi="仿宋_GB2312" w:cs="仿宋_GB2312" w:eastAsia="仿宋_GB2312"/>
                <w:sz w:val="32"/>
                <w:b/>
              </w:rPr>
              <w:t>内容及要求</w:t>
            </w:r>
          </w:p>
          <w:p>
            <w:pPr>
              <w:pStyle w:val="null3"/>
              <w:ind w:left="1695"/>
              <w:jc w:val="both"/>
              <w:outlineLvl w:val="1"/>
            </w:pPr>
            <w:r>
              <w:rPr>
                <w:rFonts w:ascii="仿宋_GB2312" w:hAnsi="仿宋_GB2312" w:cs="仿宋_GB2312" w:eastAsia="仿宋_GB2312"/>
                <w:sz w:val="24"/>
                <w:b/>
                <w:color w:val="000000"/>
              </w:rPr>
              <w:t>一、服务内容及要求：</w:t>
            </w:r>
          </w:p>
          <w:tbl>
            <w:tblPr>
              <w:tblInd w:type="dxa" w:w="135"/>
              <w:tblBorders>
                <w:top w:val="none" w:color="000000" w:sz="4"/>
                <w:left w:val="none" w:color="000000" w:sz="4"/>
                <w:bottom w:val="none" w:color="000000" w:sz="4"/>
                <w:right w:val="none" w:color="000000" w:sz="4"/>
                <w:insideH w:val="none"/>
                <w:insideV w:val="none"/>
              </w:tblBorders>
            </w:tblPr>
            <w:tblGrid>
              <w:gridCol w:w="316"/>
              <w:gridCol w:w="665"/>
              <w:gridCol w:w="465"/>
              <w:gridCol w:w="1108"/>
            </w:tblGrid>
            <w:tr>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设备型号</w:t>
                  </w:r>
                </w:p>
              </w:tc>
              <w:tc>
                <w:tcPr>
                  <w:tcW w:type="dxa" w:w="1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服务内容</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西门子</w:t>
                  </w:r>
                  <w:r>
                    <w:rPr>
                      <w:rFonts w:ascii="仿宋_GB2312" w:hAnsi="仿宋_GB2312" w:cs="仿宋_GB2312" w:eastAsia="仿宋_GB2312"/>
                      <w:sz w:val="24"/>
                    </w:rPr>
                    <w:t>62排</w:t>
                  </w:r>
                </w:p>
                <w:p>
                  <w:pPr>
                    <w:pStyle w:val="null3"/>
                    <w:jc w:val="center"/>
                  </w:pPr>
                  <w:r>
                    <w:rPr>
                      <w:rFonts w:ascii="仿宋_GB2312" w:hAnsi="仿宋_GB2312" w:cs="仿宋_GB2312" w:eastAsia="仿宋_GB2312"/>
                      <w:sz w:val="24"/>
                    </w:rPr>
                    <w:t>螺旋</w:t>
                  </w:r>
                  <w:r>
                    <w:rPr>
                      <w:rFonts w:ascii="仿宋_GB2312" w:hAnsi="仿宋_GB2312" w:cs="仿宋_GB2312" w:eastAsia="仿宋_GB2312"/>
                      <w:sz w:val="24"/>
                    </w:rPr>
                    <w:t>CT</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SOMATOM  GO.Fit</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w:t>
                  </w:r>
                  <w:r>
                    <w:rPr>
                      <w:rFonts w:ascii="仿宋_GB2312" w:hAnsi="仿宋_GB2312" w:cs="仿宋_GB2312" w:eastAsia="仿宋_GB2312"/>
                      <w:sz w:val="24"/>
                    </w:rPr>
                    <w:t>CT球管（</w:t>
                  </w:r>
                  <w:r>
                    <w:rPr>
                      <w:rFonts w:ascii="仿宋_GB2312" w:hAnsi="仿宋_GB2312" w:cs="仿宋_GB2312" w:eastAsia="仿宋_GB2312"/>
                      <w:sz w:val="23"/>
                    </w:rPr>
                    <w:t>提供西门子原装全新的</w:t>
                  </w:r>
                  <w:r>
                    <w:rPr>
                      <w:rFonts w:ascii="仿宋_GB2312" w:hAnsi="仿宋_GB2312" w:cs="仿宋_GB2312" w:eastAsia="仿宋_GB2312"/>
                      <w:sz w:val="23"/>
                    </w:rPr>
                    <w:t>ATHLON</w:t>
                  </w:r>
                  <w:r>
                    <w:rPr>
                      <w:rFonts w:ascii="仿宋_GB2312" w:hAnsi="仿宋_GB2312" w:cs="仿宋_GB2312" w:eastAsia="仿宋_GB2312"/>
                      <w:sz w:val="23"/>
                    </w:rPr>
                    <w:t>球管一支</w:t>
                  </w:r>
                  <w:r>
                    <w:rPr>
                      <w:rFonts w:ascii="仿宋_GB2312" w:hAnsi="仿宋_GB2312" w:cs="仿宋_GB2312" w:eastAsia="仿宋_GB2312"/>
                      <w:sz w:val="24"/>
                    </w:rPr>
                    <w:t>）</w:t>
                  </w:r>
                </w:p>
              </w:tc>
            </w:tr>
          </w:tbl>
          <w:p>
            <w:pPr>
              <w:pStyle w:val="null3"/>
              <w:ind w:firstLine="480"/>
              <w:jc w:val="both"/>
            </w:pPr>
            <w:r>
              <w:rPr>
                <w:rFonts w:ascii="仿宋_GB2312" w:hAnsi="仿宋_GB2312" w:cs="仿宋_GB2312" w:eastAsia="仿宋_GB2312"/>
                <w:sz w:val="24"/>
              </w:rPr>
              <w:t>1、工程师资质要求：</w:t>
            </w:r>
            <w:r>
              <w:rPr>
                <w:rFonts w:ascii="仿宋_GB2312" w:hAnsi="仿宋_GB2312" w:cs="仿宋_GB2312" w:eastAsia="仿宋_GB2312"/>
                <w:sz w:val="24"/>
              </w:rPr>
              <w:t>具备原厂</w:t>
            </w:r>
            <w:r>
              <w:rPr>
                <w:rFonts w:ascii="仿宋_GB2312" w:hAnsi="仿宋_GB2312" w:cs="仿宋_GB2312" w:eastAsia="仿宋_GB2312"/>
                <w:sz w:val="24"/>
              </w:rPr>
              <w:t>（设备制造商）</w:t>
            </w:r>
            <w:r>
              <w:rPr>
                <w:rFonts w:ascii="仿宋_GB2312" w:hAnsi="仿宋_GB2312" w:cs="仿宋_GB2312" w:eastAsia="仿宋_GB2312"/>
                <w:sz w:val="24"/>
              </w:rPr>
              <w:t>培训证书的专职工程师</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名</w:t>
            </w:r>
            <w:r>
              <w:rPr>
                <w:rFonts w:ascii="仿宋_GB2312" w:hAnsi="仿宋_GB2312" w:cs="仿宋_GB2312" w:eastAsia="仿宋_GB2312"/>
                <w:sz w:val="24"/>
              </w:rPr>
              <w:t>，所提供的相关证明文件须在有效期内</w:t>
            </w:r>
            <w:r>
              <w:rPr>
                <w:rFonts w:ascii="仿宋_GB2312" w:hAnsi="仿宋_GB2312" w:cs="仿宋_GB2312" w:eastAsia="仿宋_GB2312"/>
                <w:sz w:val="24"/>
              </w:rPr>
              <w:t>。</w:t>
            </w:r>
          </w:p>
          <w:p>
            <w:pPr>
              <w:pStyle w:val="null3"/>
              <w:jc w:val="both"/>
              <w:outlineLvl w:val="1"/>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具备同型号原厂</w:t>
            </w:r>
            <w:r>
              <w:rPr>
                <w:rFonts w:ascii="仿宋_GB2312" w:hAnsi="仿宋_GB2312" w:cs="仿宋_GB2312" w:eastAsia="仿宋_GB2312"/>
                <w:sz w:val="24"/>
                <w:b/>
                <w:color w:val="000000"/>
              </w:rPr>
              <w:t>（设备制造商）</w:t>
            </w:r>
            <w:r>
              <w:rPr>
                <w:rFonts w:ascii="仿宋_GB2312" w:hAnsi="仿宋_GB2312" w:cs="仿宋_GB2312" w:eastAsia="仿宋_GB2312"/>
                <w:sz w:val="24"/>
                <w:b/>
                <w:color w:val="000000"/>
              </w:rPr>
              <w:t>培训证书的专职应用培训专家</w:t>
            </w:r>
            <w:r>
              <w:rPr>
                <w:rFonts w:ascii="仿宋_GB2312" w:hAnsi="仿宋_GB2312" w:cs="仿宋_GB2312" w:eastAsia="仿宋_GB2312"/>
                <w:sz w:val="24"/>
                <w:b/>
                <w:color w:val="000000"/>
              </w:rPr>
              <w:t>≥1人</w:t>
            </w:r>
            <w:r>
              <w:rPr>
                <w:rFonts w:ascii="仿宋_GB2312" w:hAnsi="仿宋_GB2312" w:cs="仿宋_GB2312" w:eastAsia="仿宋_GB2312"/>
                <w:sz w:val="24"/>
                <w:b/>
                <w:color w:val="000000"/>
              </w:rPr>
              <w:t>，所提供的相关证明文件须在有效期内</w:t>
            </w:r>
            <w:r>
              <w:rPr>
                <w:rFonts w:ascii="仿宋_GB2312" w:hAnsi="仿宋_GB2312" w:cs="仿宋_GB2312" w:eastAsia="仿宋_GB2312"/>
                <w:sz w:val="24"/>
                <w:b/>
                <w:color w:val="000000"/>
              </w:rPr>
              <w:t>。</w:t>
            </w:r>
          </w:p>
          <w:p>
            <w:pPr>
              <w:pStyle w:val="null3"/>
              <w:jc w:val="both"/>
              <w:outlineLvl w:val="1"/>
            </w:pPr>
            <w:r>
              <w:rPr>
                <w:rFonts w:ascii="仿宋_GB2312" w:hAnsi="仿宋_GB2312" w:cs="仿宋_GB2312" w:eastAsia="仿宋_GB2312"/>
                <w:sz w:val="24"/>
                <w:b/>
                <w:color w:val="000000"/>
              </w:rPr>
              <w:t>3、更换配件要求：服务中所提供的配件为原厂全新配件，并提供配件球管证</w:t>
            </w:r>
            <w:r>
              <w:rPr>
                <w:rFonts w:ascii="仿宋_GB2312" w:hAnsi="仿宋_GB2312" w:cs="仿宋_GB2312" w:eastAsia="仿宋_GB2312"/>
                <w:sz w:val="24"/>
                <w:b/>
                <w:color w:val="000000"/>
              </w:rPr>
              <w:t>书，注册证，报关单以及历史采购的报关单。</w:t>
            </w:r>
            <w:r>
              <w:rPr>
                <w:rFonts w:ascii="仿宋_GB2312" w:hAnsi="仿宋_GB2312" w:cs="仿宋_GB2312" w:eastAsia="仿宋_GB2312"/>
                <w:sz w:val="24"/>
                <w:b/>
                <w:color w:val="000000"/>
              </w:rPr>
              <w:t>所有维修配件为西门子原厂原包装、原厂测试合格件。</w:t>
            </w:r>
          </w:p>
          <w:p>
            <w:pPr>
              <w:pStyle w:val="null3"/>
              <w:jc w:val="both"/>
              <w:outlineLvl w:val="1"/>
            </w:pPr>
            <w:r>
              <w:rPr>
                <w:rFonts w:ascii="仿宋_GB2312" w:hAnsi="仿宋_GB2312" w:cs="仿宋_GB2312" w:eastAsia="仿宋_GB2312"/>
                <w:sz w:val="24"/>
                <w:b/>
                <w:color w:val="000000"/>
              </w:rPr>
              <w:t>4、报修响应时间：</w:t>
            </w:r>
            <w:r>
              <w:rPr>
                <w:rFonts w:ascii="仿宋_GB2312" w:hAnsi="仿宋_GB2312" w:cs="仿宋_GB2312" w:eastAsia="仿宋_GB2312"/>
                <w:sz w:val="24"/>
                <w:b/>
                <w:color w:val="000000"/>
              </w:rPr>
              <w:t>提供客户服务专线电话，</w:t>
            </w:r>
            <w:r>
              <w:rPr>
                <w:rFonts w:ascii="仿宋_GB2312" w:hAnsi="仿宋_GB2312" w:cs="仿宋_GB2312" w:eastAsia="仿宋_GB2312"/>
                <w:sz w:val="24"/>
                <w:b/>
                <w:color w:val="000000"/>
              </w:rPr>
              <w:t>24小时*365天热线支持。</w:t>
            </w:r>
            <w:r>
              <w:rPr>
                <w:rFonts w:ascii="仿宋_GB2312" w:hAnsi="仿宋_GB2312" w:cs="仿宋_GB2312" w:eastAsia="仿宋_GB2312"/>
                <w:sz w:val="24"/>
                <w:b/>
                <w:color w:val="000000"/>
              </w:rPr>
              <w:t>报修后</w:t>
            </w:r>
            <w:r>
              <w:rPr>
                <w:rFonts w:ascii="仿宋_GB2312" w:hAnsi="仿宋_GB2312" w:cs="仿宋_GB2312" w:eastAsia="仿宋_GB2312"/>
                <w:sz w:val="24"/>
                <w:b/>
                <w:color w:val="000000"/>
              </w:rPr>
              <w:t>1小时以内响应，服务工程师24小时内到</w:t>
            </w:r>
            <w:r>
              <w:rPr>
                <w:rFonts w:ascii="仿宋_GB2312" w:hAnsi="仿宋_GB2312" w:cs="仿宋_GB2312" w:eastAsia="仿宋_GB2312"/>
                <w:sz w:val="24"/>
                <w:b/>
                <w:color w:val="000000"/>
              </w:rPr>
              <w:t>达现场。</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具备专用工具用以检测</w:t>
            </w:r>
            <w:r>
              <w:rPr>
                <w:rFonts w:ascii="仿宋_GB2312" w:hAnsi="仿宋_GB2312" w:cs="仿宋_GB2312" w:eastAsia="仿宋_GB2312"/>
                <w:sz w:val="24"/>
              </w:rPr>
              <w:t>CT输出剂量，保证其符合国家标准，具备输出剂量校正的能力</w:t>
            </w:r>
            <w:r>
              <w:rPr>
                <w:rFonts w:ascii="仿宋_GB2312" w:hAnsi="仿宋_GB2312" w:cs="仿宋_GB2312" w:eastAsia="仿宋_GB2312"/>
                <w:sz w:val="24"/>
              </w:rPr>
              <w:t>，</w:t>
            </w:r>
            <w:r>
              <w:rPr>
                <w:rFonts w:ascii="仿宋_GB2312" w:hAnsi="仿宋_GB2312" w:cs="仿宋_GB2312" w:eastAsia="仿宋_GB2312"/>
                <w:sz w:val="24"/>
              </w:rPr>
              <w:t>具有检验与校正图像质量的工具和能力，保证</w:t>
            </w:r>
            <w:r>
              <w:rPr>
                <w:rFonts w:ascii="仿宋_GB2312" w:hAnsi="仿宋_GB2312" w:cs="仿宋_GB2312" w:eastAsia="仿宋_GB2312"/>
                <w:sz w:val="24"/>
              </w:rPr>
              <w:t>CT图像达到出厂标准。</w:t>
            </w:r>
          </w:p>
          <w:p>
            <w:pPr>
              <w:pStyle w:val="null3"/>
              <w:ind w:firstLine="480"/>
              <w:jc w:val="both"/>
            </w:pPr>
            <w:r>
              <w:rPr>
                <w:rFonts w:ascii="仿宋_GB2312" w:hAnsi="仿宋_GB2312" w:cs="仿宋_GB2312" w:eastAsia="仿宋_GB2312"/>
                <w:sz w:val="24"/>
              </w:rPr>
              <w:t>6、提供远程诊断：提供远程网络维修诊断系统的地址及认证证书，并提供图片证明。</w:t>
            </w:r>
          </w:p>
          <w:p>
            <w:pPr>
              <w:pStyle w:val="null3"/>
              <w:ind w:firstLine="480"/>
              <w:jc w:val="both"/>
            </w:pPr>
            <w:r>
              <w:rPr>
                <w:rFonts w:ascii="仿宋_GB2312" w:hAnsi="仿宋_GB2312" w:cs="仿宋_GB2312" w:eastAsia="仿宋_GB2312"/>
                <w:sz w:val="24"/>
              </w:rPr>
              <w:t>7、提供远程服务：通过互联网连接在线远程应用支持且可以实时用户显示操作界面照片；可通过Remote software update能快速同步原厂</w:t>
            </w:r>
            <w:r>
              <w:rPr>
                <w:rFonts w:ascii="仿宋_GB2312" w:hAnsi="仿宋_GB2312" w:cs="仿宋_GB2312" w:eastAsia="仿宋_GB2312"/>
                <w:sz w:val="24"/>
                <w:color w:val="000000"/>
              </w:rPr>
              <w:t>最新的软件升级包。</w:t>
            </w:r>
          </w:p>
          <w:p>
            <w:pPr>
              <w:pStyle w:val="null3"/>
              <w:ind w:firstLine="480"/>
              <w:jc w:val="both"/>
            </w:pPr>
            <w:r>
              <w:rPr>
                <w:rFonts w:ascii="仿宋_GB2312" w:hAnsi="仿宋_GB2312" w:cs="仿宋_GB2312" w:eastAsia="仿宋_GB2312"/>
                <w:sz w:val="24"/>
              </w:rPr>
              <w:t>8、高值备件：更换的高值配件必须是符合原厂对设备使用安全要求的全新配件，并提供配件来源渠道合法的证明材料及其注册证明文件。在高值配件更换时，提供相应合格证书及技术手册并附证明材料。</w:t>
            </w:r>
          </w:p>
          <w:p>
            <w:pPr>
              <w:pStyle w:val="null3"/>
              <w:jc w:val="both"/>
              <w:outlineLvl w:val="1"/>
            </w:pPr>
            <w:r>
              <w:rPr>
                <w:rFonts w:ascii="仿宋_GB2312" w:hAnsi="仿宋_GB2312" w:cs="仿宋_GB2312" w:eastAsia="仿宋_GB2312"/>
                <w:sz w:val="24"/>
                <w:b/>
                <w:color w:val="000000"/>
              </w:rPr>
              <w:t>9、</w:t>
            </w:r>
            <w:r>
              <w:rPr>
                <w:rFonts w:ascii="仿宋_GB2312" w:hAnsi="仿宋_GB2312" w:cs="仿宋_GB2312" w:eastAsia="仿宋_GB2312"/>
                <w:sz w:val="24"/>
                <w:b/>
                <w:color w:val="000000"/>
              </w:rPr>
              <w:t>提供安全升级服务。</w:t>
            </w:r>
          </w:p>
          <w:p>
            <w:pPr>
              <w:pStyle w:val="null3"/>
              <w:ind w:firstLine="480"/>
              <w:jc w:val="both"/>
            </w:pPr>
            <w:r>
              <w:rPr>
                <w:rFonts w:ascii="仿宋_GB2312" w:hAnsi="仿宋_GB2312" w:cs="仿宋_GB2312" w:eastAsia="仿宋_GB2312"/>
                <w:sz w:val="24"/>
              </w:rPr>
              <w:t>10、提供辐射安全证书。</w:t>
            </w:r>
          </w:p>
          <w:p>
            <w:pPr>
              <w:pStyle w:val="null3"/>
              <w:ind w:firstLine="480"/>
              <w:jc w:val="both"/>
            </w:pPr>
            <w:r>
              <w:rPr>
                <w:rFonts w:ascii="仿宋_GB2312" w:hAnsi="仿宋_GB2312" w:cs="仿宋_GB2312" w:eastAsia="仿宋_GB2312"/>
                <w:sz w:val="24"/>
              </w:rPr>
              <w:t>11、球管质保期：安装之日起12个月或10万秒次（以先到为准）。</w:t>
            </w:r>
          </w:p>
          <w:p>
            <w:pPr>
              <w:pStyle w:val="null3"/>
            </w:pPr>
            <w:r>
              <w:rPr>
                <w:rFonts w:ascii="仿宋_GB2312" w:hAnsi="仿宋_GB2312" w:cs="仿宋_GB2312" w:eastAsia="仿宋_GB2312"/>
                <w:sz w:val="24"/>
                <w:b/>
                <w:color w:val="000000"/>
              </w:rPr>
              <w:t>二、球管参数</w:t>
            </w:r>
            <w:r>
              <w:rPr>
                <w:rFonts w:ascii="仿宋_GB2312" w:hAnsi="仿宋_GB2312" w:cs="仿宋_GB2312" w:eastAsia="仿宋_GB2312"/>
                <w:sz w:val="23"/>
                <w:b/>
                <w:color w:val="000000"/>
              </w:rPr>
              <w:t>（型号：</w:t>
            </w:r>
            <w:r>
              <w:rPr>
                <w:rFonts w:ascii="仿宋_GB2312" w:hAnsi="仿宋_GB2312" w:cs="仿宋_GB2312" w:eastAsia="仿宋_GB2312"/>
                <w:sz w:val="23"/>
                <w:b/>
                <w:color w:val="000000"/>
              </w:rPr>
              <w:t>ATHLON</w:t>
            </w:r>
            <w:r>
              <w:rPr>
                <w:rFonts w:ascii="仿宋_GB2312" w:hAnsi="仿宋_GB2312" w:cs="仿宋_GB2312" w:eastAsia="仿宋_GB2312"/>
                <w:sz w:val="23"/>
                <w:b/>
                <w:color w:val="000000"/>
              </w:rPr>
              <w:t>）</w:t>
            </w:r>
          </w:p>
          <w:tbl>
            <w:tblPr>
              <w:tblBorders>
                <w:top w:val="none" w:color="000000" w:sz="4"/>
                <w:left w:val="none" w:color="000000" w:sz="4"/>
                <w:bottom w:val="none" w:color="000000" w:sz="4"/>
                <w:right w:val="none" w:color="000000" w:sz="4"/>
                <w:insideH w:val="none"/>
                <w:insideV w:val="none"/>
              </w:tblBorders>
            </w:tblPr>
            <w:tblGrid>
              <w:gridCol w:w="1291"/>
              <w:gridCol w:w="683"/>
              <w:gridCol w:w="578"/>
            </w:tblGrid>
            <w:tr>
              <w:tc>
                <w:tcPr>
                  <w:tcW w:type="dxa" w:w="1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3"/>
                      <w:color w:val="000000"/>
                    </w:rPr>
                    <w:t>标称阳极输入功率</w:t>
                  </w:r>
                </w:p>
                <w:p>
                  <w:pPr>
                    <w:pStyle w:val="null3"/>
                  </w:pPr>
                  <w:r>
                    <w:rPr>
                      <w:rFonts w:ascii="仿宋_GB2312" w:hAnsi="仿宋_GB2312" w:cs="仿宋_GB2312" w:eastAsia="仿宋_GB2312"/>
                      <w:sz w:val="23"/>
                      <w:color w:val="000000"/>
                    </w:rPr>
                    <w:t>热阳极参考功率＝</w:t>
                  </w:r>
                  <w:r>
                    <w:rPr>
                      <w:rFonts w:ascii="仿宋_GB2312" w:hAnsi="仿宋_GB2312" w:cs="仿宋_GB2312" w:eastAsia="仿宋_GB2312"/>
                      <w:sz w:val="23"/>
                      <w:color w:val="000000"/>
                    </w:rPr>
                    <w:t>300 W</w:t>
                  </w:r>
                </w:p>
                <w:p>
                  <w:pPr>
                    <w:pStyle w:val="null3"/>
                  </w:pPr>
                  <w:r>
                    <w:rPr>
                      <w:rFonts w:ascii="仿宋_GB2312" w:hAnsi="仿宋_GB2312" w:cs="仿宋_GB2312" w:eastAsia="仿宋_GB2312"/>
                      <w:sz w:val="23"/>
                      <w:color w:val="000000"/>
                    </w:rPr>
                    <w:t>标称</w:t>
                  </w:r>
                  <w:r>
                    <w:rPr>
                      <w:rFonts w:ascii="仿宋_GB2312" w:hAnsi="仿宋_GB2312" w:cs="仿宋_GB2312" w:eastAsia="仿宋_GB2312"/>
                      <w:sz w:val="23"/>
                      <w:color w:val="000000"/>
                    </w:rPr>
                    <w:t>CT 阳极输入功率</w:t>
                  </w:r>
                </w:p>
              </w:tc>
              <w:tc>
                <w:tcPr>
                  <w:tcW w:type="dxa" w:w="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F1</w:t>
                  </w:r>
                </w:p>
                <w:p>
                  <w:pPr>
                    <w:pStyle w:val="null3"/>
                    <w:jc w:val="center"/>
                  </w:pPr>
                  <w:r>
                    <w:rPr>
                      <w:rFonts w:ascii="仿宋_GB2312" w:hAnsi="仿宋_GB2312" w:cs="仿宋_GB2312" w:eastAsia="仿宋_GB2312"/>
                      <w:sz w:val="23"/>
                      <w:color w:val="000000"/>
                    </w:rPr>
                    <w:t>55</w:t>
                  </w:r>
                  <w:r>
                    <w:rPr>
                      <w:rFonts w:ascii="仿宋_GB2312" w:hAnsi="仿宋_GB2312" w:cs="仿宋_GB2312" w:eastAsia="仿宋_GB2312"/>
                      <w:sz w:val="23"/>
                      <w:color w:val="000000"/>
                    </w:rPr>
                    <w:t>千瓦</w:t>
                  </w:r>
                </w:p>
              </w:tc>
              <w:tc>
                <w:tcPr>
                  <w:tcW w:type="dxa" w:w="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F2</w:t>
                  </w:r>
                </w:p>
                <w:p>
                  <w:pPr>
                    <w:pStyle w:val="null3"/>
                    <w:jc w:val="center"/>
                  </w:pPr>
                  <w:r>
                    <w:rPr>
                      <w:rFonts w:ascii="仿宋_GB2312" w:hAnsi="仿宋_GB2312" w:cs="仿宋_GB2312" w:eastAsia="仿宋_GB2312"/>
                      <w:sz w:val="23"/>
                      <w:color w:val="000000"/>
                    </w:rPr>
                    <w:t>75</w:t>
                  </w:r>
                  <w:r>
                    <w:rPr>
                      <w:rFonts w:ascii="仿宋_GB2312" w:hAnsi="仿宋_GB2312" w:cs="仿宋_GB2312" w:eastAsia="仿宋_GB2312"/>
                      <w:sz w:val="23"/>
                      <w:color w:val="000000"/>
                    </w:rPr>
                    <w:t>千瓦</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3"/>
                      <w:color w:val="000000"/>
                    </w:rPr>
                    <w:t>阳极最大热容量</w:t>
                  </w:r>
                  <w:r>
                    <w:rPr>
                      <w:rFonts w:ascii="仿宋_GB2312" w:hAnsi="仿宋_GB2312" w:cs="仿宋_GB2312" w:eastAsia="仿宋_GB2312"/>
                      <w:sz w:val="19"/>
                    </w:rPr>
                    <w:t xml:space="preserve"> </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5200000</w:t>
                  </w:r>
                  <w:r>
                    <w:rPr>
                      <w:rFonts w:ascii="仿宋_GB2312" w:hAnsi="仿宋_GB2312" w:cs="仿宋_GB2312" w:eastAsia="仿宋_GB2312"/>
                      <w:sz w:val="23"/>
                      <w:color w:val="000000"/>
                    </w:rPr>
                    <w:t>焦耳</w:t>
                  </w:r>
                  <w:r>
                    <w:rPr>
                      <w:rFonts w:ascii="仿宋_GB2312" w:hAnsi="仿宋_GB2312" w:cs="仿宋_GB2312" w:eastAsia="仿宋_GB2312"/>
                      <w:sz w:val="23"/>
                      <w:color w:val="000000"/>
                    </w:rPr>
                    <w:t xml:space="preserve"> (7000000HU)</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3"/>
                      <w:color w:val="000000"/>
                    </w:rPr>
                    <w:t>阳极顶端覆层材</w:t>
                  </w:r>
                  <w:r>
                    <w:rPr>
                      <w:rFonts w:ascii="仿宋_GB2312" w:hAnsi="仿宋_GB2312" w:cs="仿宋_GB2312" w:eastAsia="仿宋_GB2312"/>
                      <w:sz w:val="19"/>
                    </w:rPr>
                    <w:t xml:space="preserve"> </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铼－钨</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3"/>
                      <w:color w:val="000000"/>
                    </w:rPr>
                    <w:t>靶材料</w:t>
                  </w:r>
                  <w:r>
                    <w:rPr>
                      <w:rFonts w:ascii="仿宋_GB2312" w:hAnsi="仿宋_GB2312" w:cs="仿宋_GB2312" w:eastAsia="仿宋_GB2312"/>
                      <w:sz w:val="19"/>
                    </w:rPr>
                    <w:t xml:space="preserve"> </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铼、钨、钼合金、石墨</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3"/>
                      <w:color w:val="000000"/>
                    </w:rPr>
                    <w:t>标称</w:t>
                  </w:r>
                  <w:r>
                    <w:rPr>
                      <w:rFonts w:ascii="仿宋_GB2312" w:hAnsi="仿宋_GB2312" w:cs="仿宋_GB2312" w:eastAsia="仿宋_GB2312"/>
                      <w:sz w:val="23"/>
                      <w:color w:val="000000"/>
                    </w:rPr>
                    <w:t>X</w:t>
                  </w:r>
                  <w:r>
                    <w:rPr>
                      <w:rFonts w:ascii="仿宋_GB2312" w:hAnsi="仿宋_GB2312" w:cs="仿宋_GB2312" w:eastAsia="仿宋_GB2312"/>
                      <w:sz w:val="23"/>
                      <w:color w:val="000000"/>
                    </w:rPr>
                    <w:t>射线管电压</w:t>
                  </w:r>
                  <w:r>
                    <w:rPr>
                      <w:rFonts w:ascii="仿宋_GB2312" w:hAnsi="仿宋_GB2312" w:cs="仿宋_GB2312" w:eastAsia="仿宋_GB2312"/>
                      <w:sz w:val="19"/>
                    </w:rPr>
                    <w:t xml:space="preserve"> </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140</w:t>
                  </w:r>
                  <w:r>
                    <w:rPr>
                      <w:rFonts w:ascii="仿宋_GB2312" w:hAnsi="仿宋_GB2312" w:cs="仿宋_GB2312" w:eastAsia="仿宋_GB2312"/>
                      <w:sz w:val="23"/>
                      <w:color w:val="000000"/>
                    </w:rPr>
                    <w:t>千伏</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3"/>
                      <w:color w:val="000000"/>
                    </w:rPr>
                    <w:t>最大连续散热</w:t>
                  </w:r>
                </w:p>
                <w:p>
                  <w:pPr>
                    <w:pStyle w:val="null3"/>
                  </w:pPr>
                  <w:r>
                    <w:rPr>
                      <w:rFonts w:ascii="仿宋_GB2312" w:hAnsi="仿宋_GB2312" w:cs="仿宋_GB2312" w:eastAsia="仿宋_GB2312"/>
                      <w:sz w:val="23"/>
                      <w:color w:val="000000"/>
                    </w:rPr>
                    <w:t>标称连续输入功率</w:t>
                  </w:r>
                  <w:r>
                    <w:rPr>
                      <w:rFonts w:ascii="仿宋_GB2312" w:hAnsi="仿宋_GB2312" w:cs="仿宋_GB2312" w:eastAsia="仿宋_GB2312"/>
                      <w:sz w:val="19"/>
                    </w:rPr>
                    <w:t xml:space="preserve"> </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44</w:t>
                  </w:r>
                  <w:r>
                    <w:rPr>
                      <w:rFonts w:ascii="仿宋_GB2312" w:hAnsi="仿宋_GB2312" w:cs="仿宋_GB2312" w:eastAsia="仿宋_GB2312"/>
                      <w:sz w:val="23"/>
                      <w:color w:val="000000"/>
                    </w:rPr>
                    <w:t>00</w:t>
                  </w:r>
                  <w:r>
                    <w:rPr>
                      <w:rFonts w:ascii="仿宋_GB2312" w:hAnsi="仿宋_GB2312" w:cs="仿宋_GB2312" w:eastAsia="仿宋_GB2312"/>
                      <w:sz w:val="23"/>
                      <w:color w:val="000000"/>
                    </w:rPr>
                    <w:t>W</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3"/>
                      <w:color w:val="000000"/>
                    </w:rPr>
                    <w:t>连续阳极输入功率</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3500</w:t>
                  </w:r>
                  <w:r>
                    <w:rPr>
                      <w:rFonts w:ascii="仿宋_GB2312" w:hAnsi="仿宋_GB2312" w:cs="仿宋_GB2312" w:eastAsia="仿宋_GB2312"/>
                      <w:sz w:val="23"/>
                      <w:color w:val="000000"/>
                    </w:rPr>
                    <w:t>瓦</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3"/>
                      <w:color w:val="000000"/>
                    </w:rPr>
                    <w:t>阳极驱动频率</w:t>
                  </w:r>
                  <w:r>
                    <w:rPr>
                      <w:rFonts w:ascii="仿宋_GB2312" w:hAnsi="仿宋_GB2312" w:cs="仿宋_GB2312" w:eastAsia="仿宋_GB2312"/>
                      <w:sz w:val="19"/>
                    </w:rPr>
                    <w:t xml:space="preserve"> </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20</w:t>
                  </w:r>
                  <w:r>
                    <w:rPr>
                      <w:rFonts w:ascii="仿宋_GB2312" w:hAnsi="仿宋_GB2312" w:cs="仿宋_GB2312" w:eastAsia="仿宋_GB2312"/>
                      <w:sz w:val="23"/>
                      <w:color w:val="000000"/>
                    </w:rPr>
                    <w:t xml:space="preserve">0 </w:t>
                  </w:r>
                  <w:r>
                    <w:rPr>
                      <w:rFonts w:ascii="仿宋_GB2312" w:hAnsi="仿宋_GB2312" w:cs="仿宋_GB2312" w:eastAsia="仿宋_GB2312"/>
                      <w:sz w:val="23"/>
                      <w:color w:val="000000"/>
                    </w:rPr>
                    <w:t>赫兹</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3"/>
                      <w:color w:val="000000"/>
                    </w:rPr>
                    <w:t>最大的阴极灯丝发热</w:t>
                  </w:r>
                  <w:r>
                    <w:rPr>
                      <w:rFonts w:ascii="仿宋_GB2312" w:hAnsi="仿宋_GB2312" w:cs="仿宋_GB2312" w:eastAsia="仿宋_GB2312"/>
                      <w:sz w:val="19"/>
                    </w:rPr>
                    <w:t xml:space="preserve"> </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8</w:t>
                  </w:r>
                  <w:r>
                    <w:rPr>
                      <w:rFonts w:ascii="仿宋_GB2312" w:hAnsi="仿宋_GB2312" w:cs="仿宋_GB2312" w:eastAsia="仿宋_GB2312"/>
                      <w:sz w:val="23"/>
                      <w:color w:val="000000"/>
                    </w:rPr>
                    <w:t>.</w:t>
                  </w:r>
                  <w:r>
                    <w:rPr>
                      <w:rFonts w:ascii="仿宋_GB2312" w:hAnsi="仿宋_GB2312" w:cs="仿宋_GB2312" w:eastAsia="仿宋_GB2312"/>
                      <w:sz w:val="23"/>
                      <w:color w:val="000000"/>
                    </w:rPr>
                    <w:t>5 A</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3"/>
                      <w:color w:val="000000"/>
                    </w:rPr>
                    <w:t>阳极角度（相对基准轴）</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7</w:t>
                  </w:r>
                  <w:r>
                    <w:rPr>
                      <w:rFonts w:ascii="仿宋_GB2312" w:hAnsi="仿宋_GB2312" w:cs="仿宋_GB2312" w:eastAsia="仿宋_GB2312"/>
                      <w:sz w:val="23"/>
                      <w:color w:val="000000"/>
                    </w:rPr>
                    <w:t>°</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3"/>
                      <w:color w:val="000000"/>
                    </w:rPr>
                    <w:t>焦点</w:t>
                  </w:r>
                  <w:r>
                    <w:rPr>
                      <w:rFonts w:ascii="仿宋_GB2312" w:hAnsi="仿宋_GB2312" w:cs="仿宋_GB2312" w:eastAsia="仿宋_GB2312"/>
                      <w:sz w:val="19"/>
                    </w:rPr>
                    <w:t xml:space="preserve"> </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F 1</w:t>
                  </w:r>
                </w:p>
              </w:tc>
              <w:tc>
                <w:tcPr>
                  <w:tcW w:type="dxa" w:w="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F 2</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3"/>
                      <w:color w:val="000000"/>
                    </w:rPr>
                    <w:t>标称焦点值（相对基准轴）</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0.8×0.</w:t>
                  </w:r>
                  <w:r>
                    <w:rPr>
                      <w:rFonts w:ascii="仿宋_GB2312" w:hAnsi="仿宋_GB2312" w:cs="仿宋_GB2312" w:eastAsia="仿宋_GB2312"/>
                      <w:sz w:val="23"/>
                      <w:color w:val="000000"/>
                    </w:rPr>
                    <w:t>8</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1</w:t>
                  </w:r>
                  <w:r>
                    <w:rPr>
                      <w:rFonts w:ascii="仿宋_GB2312" w:hAnsi="仿宋_GB2312" w:cs="仿宋_GB2312" w:eastAsia="仿宋_GB2312"/>
                      <w:sz w:val="23"/>
                      <w:color w:val="000000"/>
                    </w:rPr>
                    <w:t>.</w:t>
                  </w:r>
                  <w:r>
                    <w:rPr>
                      <w:rFonts w:ascii="仿宋_GB2312" w:hAnsi="仿宋_GB2312" w:cs="仿宋_GB2312" w:eastAsia="仿宋_GB2312"/>
                      <w:sz w:val="23"/>
                      <w:color w:val="000000"/>
                    </w:rPr>
                    <w:t>0</w:t>
                  </w:r>
                  <w:r>
                    <w:rPr>
                      <w:rFonts w:ascii="仿宋_GB2312" w:hAnsi="仿宋_GB2312" w:cs="仿宋_GB2312" w:eastAsia="仿宋_GB2312"/>
                      <w:sz w:val="23"/>
                      <w:color w:val="000000"/>
                    </w:rPr>
                    <w:t>×</w:t>
                  </w:r>
                  <w:r>
                    <w:rPr>
                      <w:rFonts w:ascii="仿宋_GB2312" w:hAnsi="仿宋_GB2312" w:cs="仿宋_GB2312" w:eastAsia="仿宋_GB2312"/>
                      <w:sz w:val="23"/>
                      <w:color w:val="000000"/>
                    </w:rPr>
                    <w:t>1</w:t>
                  </w:r>
                  <w:r>
                    <w:rPr>
                      <w:rFonts w:ascii="仿宋_GB2312" w:hAnsi="仿宋_GB2312" w:cs="仿宋_GB2312" w:eastAsia="仿宋_GB2312"/>
                      <w:sz w:val="23"/>
                      <w:color w:val="000000"/>
                    </w:rPr>
                    <w:t>.</w:t>
                  </w:r>
                  <w:r>
                    <w:rPr>
                      <w:rFonts w:ascii="仿宋_GB2312" w:hAnsi="仿宋_GB2312" w:cs="仿宋_GB2312" w:eastAsia="仿宋_GB2312"/>
                      <w:sz w:val="23"/>
                      <w:color w:val="000000"/>
                    </w:rPr>
                    <w:t>2</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3"/>
                      <w:color w:val="000000"/>
                    </w:rPr>
                    <w:t>X</w:t>
                  </w:r>
                  <w:r>
                    <w:rPr>
                      <w:rFonts w:ascii="仿宋_GB2312" w:hAnsi="仿宋_GB2312" w:cs="仿宋_GB2312" w:eastAsia="仿宋_GB2312"/>
                      <w:sz w:val="23"/>
                      <w:color w:val="000000"/>
                    </w:rPr>
                    <w:t>射线管组件的固有过滤量</w:t>
                  </w:r>
                  <w:r>
                    <w:rPr>
                      <w:rFonts w:ascii="仿宋_GB2312" w:hAnsi="仿宋_GB2312" w:cs="仿宋_GB2312" w:eastAsia="仿宋_GB2312"/>
                      <w:sz w:val="19"/>
                    </w:rPr>
                    <w:t xml:space="preserve"> </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w:t>
                  </w:r>
                  <w:r>
                    <w:rPr>
                      <w:rFonts w:ascii="仿宋_GB2312" w:hAnsi="仿宋_GB2312" w:cs="仿宋_GB2312" w:eastAsia="仿宋_GB2312"/>
                      <w:sz w:val="23"/>
                      <w:color w:val="000000"/>
                    </w:rPr>
                    <w:t>5.5</w:t>
                  </w:r>
                  <w:r>
                    <w:rPr>
                      <w:rFonts w:ascii="仿宋_GB2312" w:hAnsi="仿宋_GB2312" w:cs="仿宋_GB2312" w:eastAsia="仿宋_GB2312"/>
                      <w:sz w:val="23"/>
                      <w:color w:val="000000"/>
                    </w:rPr>
                    <w:t>毫米铝</w:t>
                  </w:r>
                  <w:r>
                    <w:rPr>
                      <w:rFonts w:ascii="仿宋_GB2312" w:hAnsi="仿宋_GB2312" w:cs="仿宋_GB2312" w:eastAsia="仿宋_GB2312"/>
                      <w:sz w:val="23"/>
                      <w:color w:val="000000"/>
                    </w:rPr>
                    <w:t>/140</w:t>
                  </w:r>
                  <w:r>
                    <w:rPr>
                      <w:rFonts w:ascii="仿宋_GB2312" w:hAnsi="仿宋_GB2312" w:cs="仿宋_GB2312" w:eastAsia="仿宋_GB2312"/>
                      <w:sz w:val="23"/>
                      <w:color w:val="000000"/>
                    </w:rPr>
                    <w:t>千伏</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3"/>
                      <w:color w:val="000000"/>
                    </w:rPr>
                    <w:t>140 千伏 / 3.5 千瓦 时1 米距离处的辐射泄漏</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&lt; 0.8</w:t>
                  </w:r>
                  <w:r>
                    <w:rPr>
                      <w:rFonts w:ascii="仿宋_GB2312" w:hAnsi="仿宋_GB2312" w:cs="仿宋_GB2312" w:eastAsia="仿宋_GB2312"/>
                      <w:sz w:val="23"/>
                      <w:color w:val="000000"/>
                    </w:rPr>
                    <w:t>毫戈瑞</w:t>
                  </w:r>
                  <w:r>
                    <w:rPr>
                      <w:rFonts w:ascii="仿宋_GB2312" w:hAnsi="仿宋_GB2312" w:cs="仿宋_GB2312" w:eastAsia="仿宋_GB2312"/>
                      <w:sz w:val="23"/>
                      <w:color w:val="000000"/>
                    </w:rPr>
                    <w:t>/</w:t>
                  </w:r>
                  <w:r>
                    <w:rPr>
                      <w:rFonts w:ascii="仿宋_GB2312" w:hAnsi="仿宋_GB2312" w:cs="仿宋_GB2312" w:eastAsia="仿宋_GB2312"/>
                      <w:sz w:val="23"/>
                      <w:color w:val="000000"/>
                    </w:rPr>
                    <w:t>小时</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3"/>
                      <w:color w:val="000000"/>
                    </w:rPr>
                    <w:t>防</w:t>
                  </w:r>
                  <w:r>
                    <w:rPr>
                      <w:rFonts w:ascii="仿宋_GB2312" w:hAnsi="仿宋_GB2312" w:cs="仿宋_GB2312" w:eastAsia="仿宋_GB2312"/>
                      <w:sz w:val="23"/>
                      <w:color w:val="000000"/>
                    </w:rPr>
                    <w:t>护等级</w:t>
                  </w:r>
                  <w:r>
                    <w:rPr>
                      <w:rFonts w:ascii="仿宋_GB2312" w:hAnsi="仿宋_GB2312" w:cs="仿宋_GB2312" w:eastAsia="仿宋_GB2312"/>
                      <w:sz w:val="19"/>
                    </w:rPr>
                    <w:t xml:space="preserve"> </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 xml:space="preserve">I </w:t>
                  </w:r>
                  <w:r>
                    <w:rPr>
                      <w:rFonts w:ascii="仿宋_GB2312" w:hAnsi="仿宋_GB2312" w:cs="仿宋_GB2312" w:eastAsia="仿宋_GB2312"/>
                      <w:sz w:val="23"/>
                      <w:color w:val="000000"/>
                    </w:rPr>
                    <w:t>类</w:t>
                  </w:r>
                  <w:r>
                    <w:rPr>
                      <w:rFonts w:ascii="仿宋_GB2312" w:hAnsi="仿宋_GB2312" w:cs="仿宋_GB2312" w:eastAsia="仿宋_GB2312"/>
                      <w:sz w:val="19"/>
                    </w:rPr>
                    <w:t xml:space="preserve"> </w:t>
                  </w:r>
                  <w:r>
                    <w:rPr>
                      <w:rFonts w:ascii="仿宋_GB2312" w:hAnsi="仿宋_GB2312" w:cs="仿宋_GB2312" w:eastAsia="仿宋_GB2312"/>
                      <w:sz w:val="23"/>
                      <w:color w:val="000000"/>
                    </w:rPr>
                    <w:t>B</w:t>
                  </w:r>
                  <w:r>
                    <w:rPr>
                      <w:rFonts w:ascii="仿宋_GB2312" w:hAnsi="仿宋_GB2312" w:cs="仿宋_GB2312" w:eastAsia="仿宋_GB2312"/>
                      <w:sz w:val="23"/>
                      <w:color w:val="000000"/>
                    </w:rPr>
                    <w:t>类</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3"/>
                      <w:color w:val="000000"/>
                    </w:rPr>
                    <w:t>重量（不包括附件）</w:t>
                  </w:r>
                  <w:r>
                    <w:rPr>
                      <w:rFonts w:ascii="仿宋_GB2312" w:hAnsi="仿宋_GB2312" w:cs="仿宋_GB2312" w:eastAsia="仿宋_GB2312"/>
                      <w:sz w:val="19"/>
                    </w:rPr>
                    <w:t xml:space="preserve"> </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52</w:t>
                  </w:r>
                  <w:r>
                    <w:rPr>
                      <w:rFonts w:ascii="仿宋_GB2312" w:hAnsi="仿宋_GB2312" w:cs="仿宋_GB2312" w:eastAsia="仿宋_GB2312"/>
                      <w:sz w:val="23"/>
                      <w:color w:val="000000"/>
                    </w:rPr>
                    <w:t>.5</w:t>
                  </w:r>
                  <w:r>
                    <w:rPr>
                      <w:rFonts w:ascii="仿宋_GB2312" w:hAnsi="仿宋_GB2312" w:cs="仿宋_GB2312" w:eastAsia="仿宋_GB2312"/>
                      <w:sz w:val="23"/>
                      <w:color w:val="000000"/>
                    </w:rPr>
                    <w:t>公斤</w:t>
                  </w:r>
                  <w:r>
                    <w:rPr>
                      <w:rFonts w:ascii="仿宋_GB2312" w:hAnsi="仿宋_GB2312" w:cs="仿宋_GB2312" w:eastAsia="仿宋_GB2312"/>
                      <w:sz w:val="23"/>
                      <w:color w:val="000000"/>
                    </w:rPr>
                    <w:t xml:space="preserve">± 0.1 </w:t>
                  </w:r>
                  <w:r>
                    <w:rPr>
                      <w:rFonts w:ascii="仿宋_GB2312" w:hAnsi="仿宋_GB2312" w:cs="仿宋_GB2312" w:eastAsia="仿宋_GB2312"/>
                      <w:sz w:val="23"/>
                      <w:color w:val="000000"/>
                    </w:rPr>
                    <w:t>公斤</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3"/>
                      <w:color w:val="000000"/>
                    </w:rPr>
                    <w:t>高压接线</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+3 极</w:t>
                  </w:r>
                </w:p>
                <w:p>
                  <w:pPr>
                    <w:pStyle w:val="null3"/>
                    <w:jc w:val="center"/>
                  </w:pPr>
                  <w:r>
                    <w:rPr>
                      <w:rFonts w:ascii="仿宋_GB2312" w:hAnsi="仿宋_GB2312" w:cs="仿宋_GB2312" w:eastAsia="仿宋_GB2312"/>
                      <w:sz w:val="23"/>
                      <w:color w:val="000000"/>
                    </w:rPr>
                    <w:t>- 3 电极</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3"/>
                      <w:color w:val="000000"/>
                    </w:rPr>
                    <w:t>旋转阳极电机</w:t>
                  </w:r>
                  <w:r>
                    <w:rPr>
                      <w:rFonts w:ascii="仿宋_GB2312" w:hAnsi="仿宋_GB2312" w:cs="仿宋_GB2312" w:eastAsia="仿宋_GB2312"/>
                      <w:sz w:val="19"/>
                    </w:rPr>
                    <w:t xml:space="preserve"> </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rPr>
                    <w:t>3</w:t>
                  </w:r>
                  <w:r>
                    <w:rPr>
                      <w:rFonts w:ascii="仿宋_GB2312" w:hAnsi="仿宋_GB2312" w:cs="仿宋_GB2312" w:eastAsia="仿宋_GB2312"/>
                      <w:sz w:val="23"/>
                    </w:rPr>
                    <w:t>相定子，</w:t>
                  </w:r>
                  <w:r>
                    <w:rPr>
                      <w:rFonts w:ascii="仿宋_GB2312" w:hAnsi="仿宋_GB2312" w:cs="仿宋_GB2312" w:eastAsia="仿宋_GB2312"/>
                      <w:sz w:val="23"/>
                    </w:rPr>
                    <w:t>相</w:t>
                  </w:r>
                  <w:r>
                    <w:rPr>
                      <w:rFonts w:ascii="仿宋_GB2312" w:hAnsi="仿宋_GB2312" w:cs="仿宋_GB2312" w:eastAsia="仿宋_GB2312"/>
                      <w:sz w:val="23"/>
                    </w:rPr>
                    <w:t>电压</w:t>
                  </w:r>
                  <w:r>
                    <w:rPr>
                      <w:rFonts w:ascii="仿宋_GB2312" w:hAnsi="仿宋_GB2312" w:cs="仿宋_GB2312" w:eastAsia="仿宋_GB2312"/>
                      <w:sz w:val="23"/>
                    </w:rPr>
                    <w:t>430-750</w:t>
                  </w:r>
                  <w:r>
                    <w:rPr>
                      <w:rFonts w:ascii="仿宋_GB2312" w:hAnsi="仿宋_GB2312" w:cs="仿宋_GB2312" w:eastAsia="仿宋_GB2312"/>
                      <w:sz w:val="19"/>
                    </w:rPr>
                    <w:t xml:space="preserve"> V</w:t>
                  </w:r>
                  <w:r>
                    <w:rPr>
                      <w:rFonts w:ascii="仿宋_GB2312" w:hAnsi="仿宋_GB2312" w:cs="仿宋_GB2312" w:eastAsia="仿宋_GB2312"/>
                      <w:sz w:val="13"/>
                    </w:rPr>
                    <w:t>pp</w:t>
                  </w:r>
                </w:p>
                <w:p>
                  <w:pPr>
                    <w:pStyle w:val="null3"/>
                    <w:jc w:val="center"/>
                  </w:pPr>
                  <w:r>
                    <w:rPr>
                      <w:rFonts w:ascii="仿宋_GB2312" w:hAnsi="仿宋_GB2312" w:cs="仿宋_GB2312" w:eastAsia="仿宋_GB2312"/>
                      <w:sz w:val="23"/>
                    </w:rPr>
                    <w:t>相</w:t>
                  </w:r>
                  <w:r>
                    <w:rPr>
                      <w:rFonts w:ascii="仿宋_GB2312" w:hAnsi="仿宋_GB2312" w:cs="仿宋_GB2312" w:eastAsia="仿宋_GB2312"/>
                      <w:sz w:val="23"/>
                    </w:rPr>
                    <w:t>电</w:t>
                  </w:r>
                  <w:r>
                    <w:rPr>
                      <w:rFonts w:ascii="仿宋_GB2312" w:hAnsi="仿宋_GB2312" w:cs="仿宋_GB2312" w:eastAsia="仿宋_GB2312"/>
                      <w:sz w:val="23"/>
                    </w:rPr>
                    <w:t>流</w:t>
                  </w:r>
                  <w:r>
                    <w:rPr>
                      <w:rFonts w:ascii="仿宋_GB2312" w:hAnsi="仿宋_GB2312" w:cs="仿宋_GB2312" w:eastAsia="仿宋_GB2312"/>
                      <w:sz w:val="23"/>
                    </w:rPr>
                    <w:t>≤</w:t>
                  </w:r>
                  <w:r>
                    <w:rPr>
                      <w:rFonts w:ascii="仿宋_GB2312" w:hAnsi="仿宋_GB2312" w:cs="仿宋_GB2312" w:eastAsia="仿宋_GB2312"/>
                      <w:sz w:val="23"/>
                    </w:rPr>
                    <w:t xml:space="preserve"> 20</w:t>
                  </w:r>
                  <w:r>
                    <w:rPr>
                      <w:rFonts w:ascii="仿宋_GB2312" w:hAnsi="仿宋_GB2312" w:cs="仿宋_GB2312" w:eastAsia="仿宋_GB2312"/>
                      <w:sz w:val="19"/>
                    </w:rPr>
                    <w:t xml:space="preserve"> A</w:t>
                  </w:r>
                  <w:r>
                    <w:rPr>
                      <w:rFonts w:ascii="仿宋_GB2312" w:hAnsi="仿宋_GB2312" w:cs="仿宋_GB2312" w:eastAsia="仿宋_GB2312"/>
                      <w:sz w:val="13"/>
                    </w:rPr>
                    <w:t>eff</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3"/>
                      <w:color w:val="000000"/>
                    </w:rPr>
                    <w:t>操作过程中所允许的环境温度</w:t>
                  </w:r>
                  <w:r>
                    <w:rPr>
                      <w:rFonts w:ascii="仿宋_GB2312" w:hAnsi="仿宋_GB2312" w:cs="仿宋_GB2312" w:eastAsia="仿宋_GB2312"/>
                      <w:sz w:val="19"/>
                    </w:rPr>
                    <w:t xml:space="preserve"> </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+1</w:t>
                  </w:r>
                  <w:r>
                    <w:rPr>
                      <w:rFonts w:ascii="仿宋_GB2312" w:hAnsi="仿宋_GB2312" w:cs="仿宋_GB2312" w:eastAsia="仿宋_GB2312"/>
                      <w:sz w:val="23"/>
                      <w:color w:val="000000"/>
                    </w:rPr>
                    <w:t>8</w:t>
                  </w:r>
                  <w:r>
                    <w:rPr>
                      <w:rFonts w:ascii="仿宋_GB2312" w:hAnsi="仿宋_GB2312" w:cs="仿宋_GB2312" w:eastAsia="仿宋_GB2312"/>
                      <w:sz w:val="23"/>
                      <w:color w:val="000000"/>
                    </w:rPr>
                    <w:t>℃</w:t>
                  </w:r>
                  <w:r>
                    <w:rPr>
                      <w:rFonts w:ascii="仿宋_GB2312" w:hAnsi="仿宋_GB2312" w:cs="仿宋_GB2312" w:eastAsia="仿宋_GB2312"/>
                      <w:sz w:val="19"/>
                    </w:rPr>
                    <w:t xml:space="preserve"> </w:t>
                  </w:r>
                  <w:r>
                    <w:rPr>
                      <w:rFonts w:ascii="仿宋_GB2312" w:hAnsi="仿宋_GB2312" w:cs="仿宋_GB2312" w:eastAsia="仿宋_GB2312"/>
                      <w:sz w:val="23"/>
                      <w:color w:val="000000"/>
                    </w:rPr>
                    <w:t>到</w:t>
                  </w:r>
                  <w:r>
                    <w:rPr>
                      <w:rFonts w:ascii="仿宋_GB2312" w:hAnsi="仿宋_GB2312" w:cs="仿宋_GB2312" w:eastAsia="仿宋_GB2312"/>
                      <w:sz w:val="23"/>
                      <w:color w:val="000000"/>
                    </w:rPr>
                    <w:t>+</w:t>
                  </w:r>
                  <w:r>
                    <w:rPr>
                      <w:rFonts w:ascii="仿宋_GB2312" w:hAnsi="仿宋_GB2312" w:cs="仿宋_GB2312" w:eastAsia="仿宋_GB2312"/>
                      <w:sz w:val="23"/>
                      <w:color w:val="000000"/>
                    </w:rPr>
                    <w:t>30</w:t>
                  </w:r>
                  <w:r>
                    <w:rPr>
                      <w:rFonts w:ascii="仿宋_GB2312" w:hAnsi="仿宋_GB2312" w:cs="仿宋_GB2312" w:eastAsia="仿宋_GB2312"/>
                      <w:sz w:val="23"/>
                      <w:color w:val="000000"/>
                    </w:rPr>
                    <w:t>℃</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3"/>
                      <w:color w:val="000000"/>
                    </w:rPr>
                    <w:t>操作过程中所允许的空气的相对湿度</w:t>
                  </w:r>
                  <w:r>
                    <w:rPr>
                      <w:rFonts w:ascii="仿宋_GB2312" w:hAnsi="仿宋_GB2312" w:cs="仿宋_GB2312" w:eastAsia="仿宋_GB2312"/>
                      <w:sz w:val="19"/>
                    </w:rPr>
                    <w:t xml:space="preserve"> </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 xml:space="preserve">20% </w:t>
                  </w:r>
                  <w:r>
                    <w:rPr>
                      <w:rFonts w:ascii="仿宋_GB2312" w:hAnsi="仿宋_GB2312" w:cs="仿宋_GB2312" w:eastAsia="仿宋_GB2312"/>
                      <w:sz w:val="23"/>
                      <w:color w:val="000000"/>
                    </w:rPr>
                    <w:t>到</w:t>
                  </w:r>
                  <w:r>
                    <w:rPr>
                      <w:rFonts w:ascii="仿宋_GB2312" w:hAnsi="仿宋_GB2312" w:cs="仿宋_GB2312" w:eastAsia="仿宋_GB2312"/>
                      <w:sz w:val="23"/>
                      <w:color w:val="000000"/>
                    </w:rPr>
                    <w:t>85%</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3"/>
                      <w:color w:val="000000"/>
                    </w:rPr>
                    <w:t>操作过程中所允许的大气压</w:t>
                  </w:r>
                  <w:r>
                    <w:rPr>
                      <w:rFonts w:ascii="仿宋_GB2312" w:hAnsi="仿宋_GB2312" w:cs="仿宋_GB2312" w:eastAsia="仿宋_GB2312"/>
                      <w:sz w:val="19"/>
                    </w:rPr>
                    <w:t xml:space="preserve"> </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8</w:t>
                  </w:r>
                  <w:r>
                    <w:rPr>
                      <w:rFonts w:ascii="仿宋_GB2312" w:hAnsi="仿宋_GB2312" w:cs="仿宋_GB2312" w:eastAsia="仿宋_GB2312"/>
                      <w:sz w:val="23"/>
                      <w:color w:val="000000"/>
                    </w:rPr>
                    <w:t>00 hPa</w:t>
                  </w:r>
                  <w:r>
                    <w:rPr>
                      <w:rFonts w:ascii="仿宋_GB2312" w:hAnsi="仿宋_GB2312" w:cs="仿宋_GB2312" w:eastAsia="仿宋_GB2312"/>
                      <w:sz w:val="23"/>
                      <w:color w:val="000000"/>
                    </w:rPr>
                    <w:t>到</w:t>
                  </w:r>
                  <w:r>
                    <w:rPr>
                      <w:rFonts w:ascii="仿宋_GB2312" w:hAnsi="仿宋_GB2312" w:cs="仿宋_GB2312" w:eastAsia="仿宋_GB2312"/>
                      <w:sz w:val="23"/>
                      <w:color w:val="000000"/>
                    </w:rPr>
                    <w:t>1060 hPa</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3"/>
                      <w:color w:val="000000"/>
                    </w:rPr>
                    <w:t>冷却流速</w:t>
                  </w:r>
                  <w:r>
                    <w:rPr>
                      <w:rFonts w:ascii="仿宋_GB2312" w:hAnsi="仿宋_GB2312" w:cs="仿宋_GB2312" w:eastAsia="仿宋_GB2312"/>
                      <w:sz w:val="19"/>
                    </w:rPr>
                    <w:t xml:space="preserve"> </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&gt;</w:t>
                  </w:r>
                  <w:r>
                    <w:rPr>
                      <w:rFonts w:ascii="仿宋_GB2312" w:hAnsi="仿宋_GB2312" w:cs="仿宋_GB2312" w:eastAsia="仿宋_GB2312"/>
                      <w:sz w:val="23"/>
                      <w:color w:val="000000"/>
                    </w:rPr>
                    <w:t>6</w:t>
                  </w:r>
                  <w:r>
                    <w:rPr>
                      <w:rFonts w:ascii="仿宋_GB2312" w:hAnsi="仿宋_GB2312" w:cs="仿宋_GB2312" w:eastAsia="仿宋_GB2312"/>
                      <w:sz w:val="23"/>
                      <w:color w:val="000000"/>
                    </w:rPr>
                    <w:t>升</w:t>
                  </w:r>
                  <w:r>
                    <w:rPr>
                      <w:rFonts w:ascii="仿宋_GB2312" w:hAnsi="仿宋_GB2312" w:cs="仿宋_GB2312" w:eastAsia="仿宋_GB2312"/>
                      <w:sz w:val="23"/>
                      <w:color w:val="000000"/>
                    </w:rPr>
                    <w:t>/</w:t>
                  </w:r>
                  <w:r>
                    <w:rPr>
                      <w:rFonts w:ascii="仿宋_GB2312" w:hAnsi="仿宋_GB2312" w:cs="仿宋_GB2312" w:eastAsia="仿宋_GB2312"/>
                      <w:sz w:val="23"/>
                      <w:color w:val="000000"/>
                    </w:rPr>
                    <w:t>分钟</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3"/>
                      <w:color w:val="000000"/>
                    </w:rPr>
                    <w:t>冷却剂总量（包括冷却设备的球管装置）</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w:t>
                  </w:r>
                  <w:r>
                    <w:rPr>
                      <w:rFonts w:ascii="仿宋_GB2312" w:hAnsi="仿宋_GB2312" w:cs="仿宋_GB2312" w:eastAsia="仿宋_GB2312"/>
                      <w:sz w:val="23"/>
                      <w:color w:val="000000"/>
                    </w:rPr>
                    <w:t>10</w:t>
                  </w:r>
                  <w:r>
                    <w:rPr>
                      <w:rFonts w:ascii="仿宋_GB2312" w:hAnsi="仿宋_GB2312" w:cs="仿宋_GB2312" w:eastAsia="仿宋_GB2312"/>
                      <w:sz w:val="23"/>
                      <w:color w:val="000000"/>
                    </w:rPr>
                    <w:t>升</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 7 个工作日完成。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富平县第二人民医院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球管安装调试且设备正常运行后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球管安装使用满一年后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 。</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3份，打印盖章后提交至采购代理机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关于促进政府采购公平竞争优化营商环境的通知》（财库〔2019〕38号）；（7）《财政部 农业农村部 国家乡村振兴局关于运用政府采购政策支持乡村产业振兴的通知》（财库〔2021〕19号）；（8）陕西省财政厅《关于进一步加强政府绿色采购有关问题的通知》（陕财办采〔2021〕29号）； （9）陕西省财政厅关于印发《陕西省中小企业政府采购信用融资办法》（陕财办采〔2018〕23号）；（10）《陕西省财政厅关于加快推进我省中小企业政府采购信用融资工作的通知》（陕财办采〔2020〕15号）； （11）《政府采购促进中小企业发展管理办法》（财库〔2020〕46号）； （12）《关于进一步加大政府采购支持中小企业力度的通知》（财库〔2022〕19号）； （13）《陕西省财政厅关于进一步落实政府采购支持中小企业相关政策的通知》（陕财办采〔2023〕3号）； （14）《陕西省财政厅关于进一步优化政府采购营商环境有关事项的通知》（陕财办采〔2023〕4号）。3、根据《富平县财政局关于优化政府采购营商环境的通知》（富财发〔2021〕96号）供应商登记免费领取采购文件的，如不参与项目投标，应在递交投标文件截止时间前一日以书面形式告知采购代理机构（联系邮箱：sxhsxmgl@126.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供应商特定资格要求.docx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提供医疗器械经营许可证或经营备案凭证</w:t>
            </w:r>
          </w:p>
        </w:tc>
        <w:tc>
          <w:tcPr>
            <w:tcW w:type="dxa" w:w="3322"/>
          </w:tcPr>
          <w:p>
            <w:pPr>
              <w:pStyle w:val="null3"/>
            </w:pPr>
            <w:r>
              <w:rPr>
                <w:rFonts w:ascii="仿宋_GB2312" w:hAnsi="仿宋_GB2312" w:cs="仿宋_GB2312" w:eastAsia="仿宋_GB2312"/>
              </w:rPr>
              <w:t>提供医疗器械经营许可证或经营备案凭证；</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提供2024年度经审计的财务报告（成立时间至提交磋商响应文件截止时间不足一年的可提供成立后任意时段的财务报表）</w:t>
            </w:r>
          </w:p>
        </w:tc>
        <w:tc>
          <w:tcPr>
            <w:tcW w:type="dxa" w:w="332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评审现场查询结果为准）</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评审现场查询结果为准）；</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提供磋商保证金银行转账凭证及基本账户信息复印件或金融机构、担保机构出具的保函复印件，复印件均须加盖公章</w:t>
            </w:r>
          </w:p>
        </w:tc>
        <w:tc>
          <w:tcPr>
            <w:tcW w:type="dxa" w:w="3322"/>
          </w:tcPr>
          <w:p>
            <w:pPr>
              <w:pStyle w:val="null3"/>
            </w:pPr>
            <w:r>
              <w:rPr>
                <w:rFonts w:ascii="仿宋_GB2312" w:hAnsi="仿宋_GB2312" w:cs="仿宋_GB2312" w:eastAsia="仿宋_GB2312"/>
              </w:rPr>
              <w:t>提供磋商保证金银行转账凭证及基本账户信息复印件或金融机构、担保机构出具的保函复印件，复印件均须加盖公章；</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本项目专门面向中小企业采购，供应商须提供《中小企业声明函》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服务内容及商务响应偏离表.docx 业绩.docx 中小企业声明函 供应商应提交的相关资格证明材料 承诺书.docx 报价表 技术部分.docx 其他相关资料.docx 响应文件封面 残疾人福利性单位声明函 标的清单 供应商特定资格要求.docx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内容无重大缺漏项，报价唯一，且不能高于最高限价。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w:t>
            </w:r>
          </w:p>
        </w:tc>
        <w:tc>
          <w:tcPr>
            <w:tcW w:type="dxa" w:w="1661"/>
          </w:tcPr>
          <w:p>
            <w:pPr>
              <w:pStyle w:val="null3"/>
            </w:pPr>
            <w:r>
              <w:rPr>
                <w:rFonts w:ascii="仿宋_GB2312" w:hAnsi="仿宋_GB2312" w:cs="仿宋_GB2312" w:eastAsia="仿宋_GB2312"/>
              </w:rPr>
              <w:t>服务内容及商务响应偏离表.docx 业绩.docx 中小企业声明函 供应商应提交的相关资格证明材料 承诺书.docx 报价表 技术部分.docx 其他相关资料.docx 响应文件封面 残疾人福利性单位声明函 标的清单 供应商特定资格要求.docx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服务内容及商务响应偏离表.docx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服务内容及商务响应偏离表.docx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服务内容及商务响应偏离表.docx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服务内容及商务响应偏离表.docx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服务内容及标准</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服务内容及商务响应偏离表.docx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法律、法规和磋商文件规定的其他无效情形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服务内容及商务响应偏离表.docx 业绩.docx 中小企业声明函 供应商应提交的相关资格证明材料 承诺书.docx 报价表 技术部分.docx 其他相关资料.docx 响应文件封面 残疾人福利性单位声明函 标的清单 供应商特定资格要求.docx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提供针对本项目的服务方案，包括但不限于：1.对项目的理解及重难点分析；2.项目进度计划；3.球管购置及运输方案；4.维修、更换方案；5.设备检测方案； 6.售后服务及培训方案。 二、评审标准 1.完整性：方案必须全面，对评审内容中的各项要求有详细描述； 2.可实施性：切合本项目实际情况，提出步骤清晰、合理的方案； 3.针对性：方案能够紧扣项目实际情况，内容科学合理。 三、赋分标准（满分36分） 1.对项目的理解及重难点分析：每完全满足一个评审标准得2分，满分6分； 2.项目进度计划：每完全满足一个评审标准得2分，满分 6 分； 3.球管购置及运输方案：每完全满足一个评审标准得2分，满分6分； 4.维修、更换方案：每完全满足一个评审标准得2分，满分6分； 5.设备检测方案：每完全满足一个评审标准得2分，满分6分。 6.售后服务及培训方案：每完全满足一个评审标准得2分，满分6分。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提供针对本项目的服务质量保证措施，包括但不限于：1.人员专业性的保证措施；2.服务质量保证措施；3.服务质量的监督措施。 二、评审标准 1.完整性：方案必须全面，对评审内容中的各项要求有详细描述； 2.可实施性：切合本项目实际情况，提出步骤清晰、合理的方案； 3.针对性：方案能够紧扣项目实际情况，内容科学合理。 三、赋分标准（满分18分） 1.人员专业性的保证措施：每完全满足一个评审标准得 2 分，满分6分； 2.服务质量保证措施：每完全满足一个评审标准得 2 分，满分6分； 3.服务质量的监督措施：每完全满足一个评审标准得 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质量证明资料</w:t>
            </w:r>
          </w:p>
        </w:tc>
        <w:tc>
          <w:tcPr>
            <w:tcW w:type="dxa" w:w="2492"/>
          </w:tcPr>
          <w:p>
            <w:pPr>
              <w:pStyle w:val="null3"/>
            </w:pPr>
            <w:r>
              <w:rPr>
                <w:rFonts w:ascii="仿宋_GB2312" w:hAnsi="仿宋_GB2312" w:cs="仿宋_GB2312" w:eastAsia="仿宋_GB2312"/>
              </w:rPr>
              <w:t>提供所投产品的合法来源渠道证明文件（包括但不限于产品检测报告、产品制造商授权、销售协议、代理协议及质量符合国内相关标准等），提供一项得1分，最多得3分。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提供针对本项目管理制度，包括但不限于：1.员工聘用管理制度；2.服务质量检查制度；3.设施设备安全使用管理制度；4.内控制度及信息反馈制度。 二、评审标准 1.完整性：方案必须全面，对评审内容中的各项要求有详细描述； 2.可实施性：切合本项目实际情况，制度规范、可行性强。 3.针对性：方案能够紧扣项目实际情况，内容科学合理。 三、赋分标准（满分12分） 1.员工聘用管理制度：每完全满足一个评审标准得1分，满分3分； 2.服务质量检查制度：每完全满足一个评审标准得1分，满分3分； 3.设施设备安全使用管理制度：每完全满足一个评审标准得1分，满分3分； 4.内控制度及信息反馈制度：每完全满足一个评审标准得1分，满分3分。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提供针对本项目的应急措施，包括但不限于：1.应急处理措施；2.应急响应时间。 二、评审标准 1.完整性：方案必须全面，对评审内容中的各项要求有详细描述； 2.可实施性：切合本项目实际情况，提出步骤清晰、合理的方案； 3.针对性：方案能够紧扣项目实际情况，内容科学合理。 三、赋分标准（满分6分） 1.应急处理措施：每完全满足一个评审标准得 1 分，满分3分； 2.应急响应时间：每完全满足一个评审标准得1分，满分3分。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提供针对本项目的服务承诺，包括但不限于：1.服务体系健全；2.承诺所有上岗人员在上岗前经过专业培训；3.定期回访制度。 二、评审标准 1.完整性：方案必须全面，对评审内容中的各项要求有详细描述； 2.可实施性：切合本项目实际情况，提出步骤清晰、合理的方案； 3.针对性：方案能够紧扣项目实际情况，内容科学合理。 三、赋分标准（满分9分） 1.服务体系健全：每完全满足一个评审标准得1分，满分3分； 2.承诺所有上岗人员在上岗前经过专业培训：每完全满足一个评审标准得1分，满分3分； 3.定期回访制度：每完全满足一个评审标准得1分，满分3分。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2022年6月1日至今类似项目的合同或中标(成交)通知书(以所提供资料的落款时间为准)，每提供一份业绩计 2分，最高6分。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1.经符合性审查合格的磋商响应文件，其磋商报价有效； 2.满足磋商文件要求且最后提交价格最低的磋商报价为磋商基准价； 3.磋商报价得分=(磋商基准价／最后磋商报价)×10%×100 4.政策性加分执行磋商文件中的标准； 5.磋商报价不完整的，本项得0分。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详见附件：供应商特定资格要求.docx</w:t>
      </w:r>
    </w:p>
    <w:p>
      <w:pPr>
        <w:pStyle w:val="null3"/>
        <w:ind w:firstLine="960"/>
      </w:pPr>
      <w:r>
        <w:rPr>
          <w:rFonts w:ascii="仿宋_GB2312" w:hAnsi="仿宋_GB2312" w:cs="仿宋_GB2312" w:eastAsia="仿宋_GB2312"/>
        </w:rPr>
        <w:t>详见附件：服务内容及商务响应偏离表.docx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