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版本号：JQ2025-ZFCG-016X20250727001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2025年富平县宫里镇沟北村生猪养殖场建设项目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JQ2025-ZFCG-016X</w:t>
      </w:r>
      <w:r>
        <w:br/>
      </w:r>
      <w:r>
        <w:br/>
      </w:r>
      <w:r>
        <w:br/>
      </w:r>
    </w:p>
    <w:p>
      <w:pPr>
        <w:pStyle w:val="null3"/>
        <w:jc w:val="center"/>
        <w:outlineLvl w:val="2"/>
      </w:pPr>
      <w:r>
        <w:rPr>
          <w:rFonts w:ascii="仿宋_GB2312" w:hAnsi="仿宋_GB2312" w:cs="仿宋_GB2312" w:eastAsia="仿宋_GB2312"/>
          <w:sz w:val="28"/>
          <w:b/>
        </w:rPr>
        <w:t>富平县宫里镇人民政府（本级）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富平县宫里镇人民政府（本级）</w:t>
      </w:r>
      <w:r>
        <w:rPr>
          <w:rFonts w:ascii="仿宋_GB2312" w:hAnsi="仿宋_GB2312" w:cs="仿宋_GB2312" w:eastAsia="仿宋_GB2312"/>
        </w:rPr>
        <w:t>委托，拟对</w:t>
      </w:r>
      <w:r>
        <w:rPr>
          <w:rFonts w:ascii="仿宋_GB2312" w:hAnsi="仿宋_GB2312" w:cs="仿宋_GB2312" w:eastAsia="仿宋_GB2312"/>
        </w:rPr>
        <w:t>2025年富平县宫里镇沟北村生猪养殖场建设项目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JQ2025-ZFCG-016X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2025年富平县宫里镇沟北村生猪养殖场建设项目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主要建设标准化猪舍2个共1200m²(每个长50m，宽12m)，配套建设化粪池80m²(长20m，宽4m)消毒室、药品室、仓储用房共计120m²(长24m，宽5m)，料塔等附属工程。项目建成后年存栏生猪1000头。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采购包1（2025年富平县宫里镇沟北村生猪养殖场建设项目）：属于专门面向中小企业采购。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富平县宫里镇人民政府（本级）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富平县宫里镇街道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吕雅妮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0913-8791001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富平县宫里镇人民政府（本级）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富平县宫里镇人民政府（本级）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富平县宫里镇人民政府（本级）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1,892,139.04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2025年富平县宫里镇沟北村生猪养殖场建设项目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标的名称：2025年富平县宫里镇沟北村生猪养殖场建设项目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项目</w:t>
            </w:r>
            <w:r>
              <w:rPr>
                <w:rFonts w:ascii="仿宋_GB2312" w:hAnsi="仿宋_GB2312" w:cs="仿宋_GB2312" w:eastAsia="仿宋_GB2312"/>
                <w:sz w:val="21"/>
              </w:rPr>
              <w:t>内容：主要建设标准化猪舍</w:t>
            </w:r>
            <w:r>
              <w:rPr>
                <w:rFonts w:ascii="仿宋_GB2312" w:hAnsi="仿宋_GB2312" w:cs="仿宋_GB2312" w:eastAsia="仿宋_GB2312"/>
                <w:sz w:val="21"/>
              </w:rPr>
              <w:t>2个共1200m</w:t>
            </w:r>
            <w:r>
              <w:rPr>
                <w:rFonts w:ascii="仿宋_GB2312" w:hAnsi="仿宋_GB2312" w:cs="仿宋_GB2312" w:eastAsia="仿宋_GB2312"/>
                <w:sz w:val="21"/>
              </w:rPr>
              <w:t>²(每个长50m，宽12m)，配套建设化粪池80m²(长20m，宽4m)消毒室、药品室、仓储用房共计120m²(长24m，宽5m)，料塔等附属工程。项目建成后年存栏生猪1000头。（详见工程量清单）</w:t>
            </w:r>
          </w:p>
          <w:p>
            <w:pPr>
              <w:pStyle w:val="null3"/>
            </w:pPr>
            <w:r>
              <w:rPr>
                <w:rFonts w:ascii="仿宋_GB2312" w:hAnsi="仿宋_GB2312" w:cs="仿宋_GB2312" w:eastAsia="仿宋_GB2312"/>
                <w:sz w:val="21"/>
              </w:rPr>
              <w:t>工  期：45日历天（具体起止日期以合同签订时间为准）</w:t>
            </w:r>
          </w:p>
          <w:p>
            <w:pPr>
              <w:pStyle w:val="null3"/>
            </w:pPr>
            <w:r>
              <w:rPr>
                <w:rFonts w:ascii="仿宋_GB2312" w:hAnsi="仿宋_GB2312" w:cs="仿宋_GB2312" w:eastAsia="仿宋_GB2312"/>
                <w:sz w:val="21"/>
              </w:rPr>
              <w:t>合同履约地点：甲方指定地点</w:t>
            </w:r>
          </w:p>
          <w:p>
            <w:pPr>
              <w:pStyle w:val="null3"/>
            </w:pPr>
            <w:r>
              <w:rPr>
                <w:rFonts w:ascii="仿宋_GB2312" w:hAnsi="仿宋_GB2312" w:cs="仿宋_GB2312" w:eastAsia="仿宋_GB2312"/>
                <w:sz w:val="21"/>
              </w:rPr>
              <w:t>工程质量：合格</w:t>
            </w:r>
          </w:p>
          <w:p>
            <w:pPr>
              <w:pStyle w:val="null3"/>
            </w:pPr>
            <w:r>
              <w:rPr>
                <w:rFonts w:ascii="仿宋_GB2312" w:hAnsi="仿宋_GB2312" w:cs="仿宋_GB2312" w:eastAsia="仿宋_GB2312"/>
                <w:sz w:val="21"/>
              </w:rPr>
              <w:t>付款方式：合同签订后，支付合同总价30%作为预付款；工程施工完成验收合格后付至合同价款的80%，待工程决算审计报告双方签字盖章认可后，付至审计价款的97%，剩余3%作为工程质量保修金，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