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版本号：JQ2025-ZFCG-015X20250727001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2025年富平县宫里镇桥南村排水改造项目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JQ2025-ZFCG-015X</w:t>
      </w:r>
      <w:r>
        <w:br/>
      </w:r>
      <w:r>
        <w:br/>
      </w:r>
      <w:r>
        <w:br/>
      </w:r>
    </w:p>
    <w:p>
      <w:pPr>
        <w:pStyle w:val="null3"/>
        <w:jc w:val="center"/>
        <w:outlineLvl w:val="2"/>
      </w:pPr>
      <w:r>
        <w:rPr>
          <w:rFonts w:ascii="仿宋_GB2312" w:hAnsi="仿宋_GB2312" w:cs="仿宋_GB2312" w:eastAsia="仿宋_GB2312"/>
          <w:sz w:val="28"/>
          <w:b/>
        </w:rPr>
        <w:t>富平县宫里镇人民政府（本级）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富平县宫里镇人民政府（本级）</w:t>
      </w:r>
      <w:r>
        <w:rPr>
          <w:rFonts w:ascii="仿宋_GB2312" w:hAnsi="仿宋_GB2312" w:cs="仿宋_GB2312" w:eastAsia="仿宋_GB2312"/>
        </w:rPr>
        <w:t>委托，拟对</w:t>
      </w:r>
      <w:r>
        <w:rPr>
          <w:rFonts w:ascii="仿宋_GB2312" w:hAnsi="仿宋_GB2312" w:cs="仿宋_GB2312" w:eastAsia="仿宋_GB2312"/>
        </w:rPr>
        <w:t>2025年富平县宫里镇桥南村排水改造项目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JQ2025-ZFCG-015X</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2025年富平县宫里镇桥南村排水改造项目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改造排水渠道825m，新修浆砌护坡3740m³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采购包1（2025年富平县宫里镇桥南村排水改造项目）：属于专门面向中小企业采购。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2、法定代表人授权委托书：提供法定代表人授权委托书（法定代表人参会提供法定代表人身份证明书）</w:t>
      </w:r>
    </w:p>
    <w:p>
      <w:pPr>
        <w:pStyle w:val="null3"/>
      </w:pPr>
      <w:r>
        <w:rPr>
          <w:rFonts w:ascii="仿宋_GB2312" w:hAnsi="仿宋_GB2312" w:cs="仿宋_GB2312" w:eastAsia="仿宋_GB2312"/>
        </w:rPr>
        <w:t>3、资质证书：需具有建设行政主管部门核发的市政公用工程施工总承包三级及以上资质；</w:t>
      </w:r>
    </w:p>
    <w:p>
      <w:pPr>
        <w:pStyle w:val="null3"/>
      </w:pPr>
      <w:r>
        <w:rPr>
          <w:rFonts w:ascii="仿宋_GB2312" w:hAnsi="仿宋_GB2312" w:cs="仿宋_GB2312" w:eastAsia="仿宋_GB2312"/>
        </w:rPr>
        <w:t>4、安全许可证：须具有建设行政主管部门核发有效的安全生产许可证；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6、供应商提供的健全的财务会计制度的证明材料：须提供2023年至今任意一年经审计的财务报告（成立时间至提交磋商响应文件截止时间不足一年的可提供成立后任意时段的财务报表）；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7、依法缴纳税后的良好记录：须提供依法缴纳税收的良好记录（提供投标截止时间前六个月内任意一个月份的缴纳凭据复印件并加盖单位公章，依法免税或开标前一年内零申报的供应商应提供相关证明文件）；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8、提供依法缴纳社会保障资金的良好记录：须提供依法缴纳社会保障资金的良好记录（提供投标截止时间前六个月内任意一个月份的缴纳凭据复印件并加盖单位公章）；</w:t>
      </w:r>
    </w:p>
    <w:p>
      <w:pPr>
        <w:pStyle w:val="null3"/>
      </w:pPr>
      <w:r>
        <w:rPr>
          <w:rFonts w:ascii="仿宋_GB2312" w:hAnsi="仿宋_GB2312" w:cs="仿宋_GB2312" w:eastAsia="仿宋_GB2312"/>
        </w:rPr>
        <w:t>9、网站截图：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11、保证金银行转账凭证及基本账户信息证明资料：提供磋商保证金银行转账凭证及基本账户信息证明资料复印件或金融机构、担保机构出具的保函复印件，复印件均须加盖公章；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富平县宫里镇人民政府（本级）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富平县宫里镇街道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曹志华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0913-8791001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富平县宫里镇人民政府（本级）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富平县宫里镇人民政府（本级）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富平县宫里镇人民政府（本级）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 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1,400,000.00</w:t>
      </w:r>
    </w:p>
    <w:p>
      <w:pPr>
        <w:pStyle w:val="null3"/>
      </w:pPr>
      <w:r>
        <w:rPr>
          <w:rFonts w:ascii="仿宋_GB2312" w:hAnsi="仿宋_GB2312" w:cs="仿宋_GB2312" w:eastAsia="仿宋_GB2312"/>
        </w:rPr>
        <w:t>采购包最高限价（元）: 1,399,496.78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2025年富平县宫里镇桥南村排水改造项目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标的名称：2025年富平县宫里镇桥南村排水改造项目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项目内容：改造排水渠道825m，新修浆砌护坡3740m³（详见工程量清单）</w:t>
            </w:r>
          </w:p>
          <w:p>
            <w:pPr>
              <w:pStyle w:val="null3"/>
            </w:pPr>
            <w:r>
              <w:rPr>
                <w:rFonts w:ascii="仿宋_GB2312" w:hAnsi="仿宋_GB2312" w:cs="仿宋_GB2312" w:eastAsia="仿宋_GB2312"/>
                <w:sz w:val="21"/>
              </w:rPr>
              <w:t>工  期：45日历天（具体起止日期以合同签订时间为准）</w:t>
            </w:r>
          </w:p>
          <w:p>
            <w:pPr>
              <w:pStyle w:val="null3"/>
            </w:pPr>
            <w:r>
              <w:rPr>
                <w:rFonts w:ascii="仿宋_GB2312" w:hAnsi="仿宋_GB2312" w:cs="仿宋_GB2312" w:eastAsia="仿宋_GB2312"/>
                <w:sz w:val="21"/>
              </w:rPr>
              <w:t>合同履约地点：甲方指定地点</w:t>
            </w:r>
          </w:p>
          <w:p>
            <w:pPr>
              <w:pStyle w:val="null3"/>
            </w:pPr>
            <w:r>
              <w:rPr>
                <w:rFonts w:ascii="仿宋_GB2312" w:hAnsi="仿宋_GB2312" w:cs="仿宋_GB2312" w:eastAsia="仿宋_GB2312"/>
                <w:sz w:val="21"/>
                <w:color w:val="000000"/>
              </w:rPr>
              <w:t>工程质量：</w:t>
            </w:r>
            <w:r>
              <w:rPr>
                <w:rFonts w:ascii="仿宋_GB2312" w:hAnsi="仿宋_GB2312" w:cs="仿宋_GB2312" w:eastAsia="仿宋_GB2312"/>
                <w:sz w:val="21"/>
                <w:color w:val="000000"/>
              </w:rPr>
              <w:t>合格</w:t>
            </w:r>
          </w:p>
          <w:p>
            <w:pPr>
              <w:pStyle w:val="null3"/>
              <w:jc w:val="both"/>
            </w:pPr>
            <w:r>
              <w:rPr>
                <w:rFonts w:ascii="仿宋_GB2312" w:hAnsi="仿宋_GB2312" w:cs="仿宋_GB2312" w:eastAsia="仿宋_GB2312"/>
                <w:sz w:val="21"/>
                <w:color w:val="000000"/>
              </w:rPr>
              <w:t>付款方式：合同签订后，支付合同总价30%作为预付款；在施工过程中，可按工程进度支付相应阶段的工程款；工程竣工验收合格后，付至合同总价款的90%；待工程决算审计报告经双方签字盖章确认后，付至审定金额的97%；剩余3%作为质量保证金，于缺陷责任期满后一次性付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提供法定代表人授权委托书（法定代表人参会提供法定代表人身份证明书）</w:t>
            </w:r>
          </w:p>
        </w:tc>
        <w:tc>
          <w:tcPr>
            <w:tcW w:type="dxa" w:w="1661"/>
          </w:tcPr>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需具有建设行政主管部门核发的市政公用工程施工总承包三级及以上资质；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项目管理机构组成表 资格证明材料.docx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供应商提供的健全的财务会计制度的证明材料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依法缴纳税后的良好记录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提供依法缴纳社会保障资金的良好记录</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案件当事人名单和政府采购严重违法失信名单的供应商；不得为“中国政府采购网”（www.ccgp.gov.cn）政府采购严重违法失信行为信息记录中被财政部门禁止参加政府采购活动的供应商。附网站相关截图并加盖单位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保证金银行转账凭证及基本账户信息证明资料</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其他应说明的事项.docx 残疾人福利性单位声明函 报价函 标的清单 供应商类似项目业绩一览表 资格证明材料.docx 响应函 主要人员简历表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资格证明材料.docx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资格证明材料.docx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近三年完成的类似业绩一项得2分，最多得6分（提供2022年5月1日至今类似工程；投标文件中须附类似工程业绩中标通知书或合同协议书或竣工验收证明材料复印件或扫描件，并加盖公章）。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项目组成机构</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