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版本号：JQ2025-ZFCG-02220250731001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2025年富平县留古镇吕兰村渠道衬砌项目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JQ2025-ZFCG-022</w:t>
      </w:r>
      <w:r>
        <w:br/>
      </w:r>
      <w:r>
        <w:br/>
      </w:r>
      <w:r>
        <w:br/>
      </w:r>
    </w:p>
    <w:p>
      <w:pPr>
        <w:pStyle w:val="null3"/>
        <w:jc w:val="center"/>
        <w:outlineLvl w:val="2"/>
      </w:pPr>
      <w:r>
        <w:rPr>
          <w:rFonts w:ascii="仿宋_GB2312" w:hAnsi="仿宋_GB2312" w:cs="仿宋_GB2312" w:eastAsia="仿宋_GB2312"/>
          <w:sz w:val="28"/>
          <w:b/>
        </w:rPr>
        <w:t>富平县留古镇人民政府（本级）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富平县留古镇人民政府（本级）</w:t>
      </w:r>
      <w:r>
        <w:rPr>
          <w:rFonts w:ascii="仿宋_GB2312" w:hAnsi="仿宋_GB2312" w:cs="仿宋_GB2312" w:eastAsia="仿宋_GB2312"/>
        </w:rPr>
        <w:t>委托，拟对</w:t>
      </w:r>
      <w:r>
        <w:rPr>
          <w:rFonts w:ascii="仿宋_GB2312" w:hAnsi="仿宋_GB2312" w:cs="仿宋_GB2312" w:eastAsia="仿宋_GB2312"/>
        </w:rPr>
        <w:t>2025年富平县留古镇吕兰村渠道衬砌项目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2025年富平县留古镇吕兰村渠道衬砌项目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褚刘组兰东组渠道破除重修3898m，兰西组渠道破除重修1260m,生产桥50个，出水口120个。（详见工程量清单）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采购包1（2025年富平县留古镇吕兰村渠道衬砌项目）：属于专门面向中小企业采购。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3、资质证书：需具有建设行政主管部门核发的市政公用工程施工总承包三级及以上资质；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6、供应商提供的健全的财务会计制度的证明材料：须提供2023年至今任意一年经审计的财务报告（成立时间至提交磋商响应文件截止时间不足一年的可提供成立后任意时段的财务报表）；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7、依法缴纳税后的良好记录：须提供依法缴纳税收的良好记录（提供投标截止时间前六个月内任意一个月份的缴纳凭据复印件并加盖单位公章，依法免税或开标前一年内零申报的供应商应提供相关证明文件）；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11、保证金银行转账凭证及基本账户信息证明资料：提供磋商保证金银行转账凭证及基本账户信息证明资料复印件或金融机构、担保机构出具的保函复印件，复印件均须加盖公章；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富平县留古镇人民政府（本级）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陕西省渭南市富平县留古镇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罗尚尚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15129213194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采购包1：757,800.00元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富平县留古镇人民政府（本级）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富平县留古镇人民政府（本级）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富平县留古镇人民政府（本级）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 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757,800.00</w:t>
      </w:r>
    </w:p>
    <w:p>
      <w:pPr>
        <w:pStyle w:val="null3"/>
      </w:pPr>
      <w:r>
        <w:rPr>
          <w:rFonts w:ascii="仿宋_GB2312" w:hAnsi="仿宋_GB2312" w:cs="仿宋_GB2312" w:eastAsia="仿宋_GB2312"/>
        </w:rPr>
        <w:t>采购包最高限价（元）: 756,862.29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2025年富平县留古镇吕兰村渠道衬砌项目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757,800.00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标的名称：2025年富平县留古镇吕兰村渠道衬砌项目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项目内容：</w:t>
            </w:r>
            <w:r>
              <w:rPr>
                <w:rFonts w:ascii="仿宋_GB2312" w:hAnsi="仿宋_GB2312" w:cs="仿宋_GB2312" w:eastAsia="仿宋_GB2312"/>
                <w:sz w:val="18"/>
              </w:rPr>
              <w:t>褚刘组兰东组渠道破除重修3898m，兰西组渠道破除重修1260m,生产桥50个，出水口120个。</w:t>
            </w:r>
            <w:r>
              <w:rPr>
                <w:rFonts w:ascii="仿宋_GB2312" w:hAnsi="仿宋_GB2312" w:cs="仿宋_GB2312" w:eastAsia="仿宋_GB2312"/>
                <w:sz w:val="18"/>
              </w:rPr>
              <w:t>（详见工程量清单）</w:t>
            </w:r>
          </w:p>
          <w:p>
            <w:pPr>
              <w:pStyle w:val="null3"/>
            </w:pPr>
            <w:r>
              <w:rPr>
                <w:rFonts w:ascii="仿宋_GB2312" w:hAnsi="仿宋_GB2312" w:cs="仿宋_GB2312" w:eastAsia="仿宋_GB2312"/>
                <w:sz w:val="18"/>
              </w:rPr>
              <w:t>工</w:t>
            </w:r>
            <w:r>
              <w:rPr>
                <w:rFonts w:ascii="仿宋_GB2312" w:hAnsi="仿宋_GB2312" w:cs="仿宋_GB2312" w:eastAsia="仿宋_GB2312"/>
                <w:sz w:val="18"/>
              </w:rPr>
              <w:t xml:space="preserve">  </w:t>
            </w:r>
            <w:r>
              <w:rPr>
                <w:rFonts w:ascii="仿宋_GB2312" w:hAnsi="仿宋_GB2312" w:cs="仿宋_GB2312" w:eastAsia="仿宋_GB2312"/>
                <w:sz w:val="18"/>
              </w:rPr>
              <w:t>期：</w:t>
            </w:r>
            <w:r>
              <w:rPr>
                <w:rFonts w:ascii="仿宋_GB2312" w:hAnsi="仿宋_GB2312" w:cs="仿宋_GB2312" w:eastAsia="仿宋_GB2312"/>
                <w:sz w:val="18"/>
              </w:rPr>
              <w:t>30日历天（具体起止日期以合同签订时间为准）</w:t>
            </w:r>
          </w:p>
          <w:p>
            <w:pPr>
              <w:pStyle w:val="null3"/>
            </w:pPr>
            <w:r>
              <w:rPr>
                <w:rFonts w:ascii="仿宋_GB2312" w:hAnsi="仿宋_GB2312" w:cs="仿宋_GB2312" w:eastAsia="仿宋_GB2312"/>
                <w:sz w:val="18"/>
              </w:rPr>
              <w:t>合同履约地点：甲方指定地点</w:t>
            </w:r>
          </w:p>
          <w:p>
            <w:pPr>
              <w:pStyle w:val="null3"/>
            </w:pPr>
            <w:r>
              <w:rPr>
                <w:rFonts w:ascii="仿宋_GB2312" w:hAnsi="仿宋_GB2312" w:cs="仿宋_GB2312" w:eastAsia="仿宋_GB2312"/>
                <w:sz w:val="18"/>
              </w:rPr>
              <w:t>工程质量：合格</w:t>
            </w:r>
          </w:p>
          <w:p>
            <w:pPr>
              <w:pStyle w:val="null3"/>
              <w:jc w:val="both"/>
            </w:pPr>
            <w:r>
              <w:rPr>
                <w:rFonts w:ascii="仿宋_GB2312" w:hAnsi="仿宋_GB2312" w:cs="仿宋_GB2312" w:eastAsia="仿宋_GB2312"/>
                <w:sz w:val="18"/>
              </w:rPr>
              <w:t>付款方式：合同签订后，支付合同总价</w:t>
            </w:r>
            <w:r>
              <w:rPr>
                <w:rFonts w:ascii="仿宋_GB2312" w:hAnsi="仿宋_GB2312" w:cs="仿宋_GB2312" w:eastAsia="仿宋_GB2312"/>
                <w:sz w:val="18"/>
              </w:rPr>
              <w:t>30%作为预付款；在施工过程中，可按工程进度支付相应阶段的工程款；工程竣工验收合格后，付至合同总价款的80%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供应商提供的健全的财务会计制度的证明材料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依法缴纳税后的良好记录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保证金银行转账凭证及基本账户信息证明资料</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磋商响应文件有效期</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工程质量</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项目组成机构</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