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版本号：JQ2025-ZFCG-01920250730001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2025年富平县薛镇杨范村巷道排水项目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JQ2025-ZFCG-019</w:t>
      </w:r>
      <w:r>
        <w:br/>
      </w:r>
      <w:r>
        <w:br/>
      </w:r>
      <w:r>
        <w:br/>
      </w:r>
    </w:p>
    <w:p>
      <w:pPr>
        <w:pStyle w:val="null3"/>
        <w:jc w:val="center"/>
        <w:outlineLvl w:val="2"/>
      </w:pPr>
      <w:r>
        <w:rPr>
          <w:rFonts w:ascii="仿宋_GB2312" w:hAnsi="仿宋_GB2312" w:cs="仿宋_GB2312" w:eastAsia="仿宋_GB2312"/>
          <w:sz w:val="28"/>
          <w:b/>
        </w:rPr>
        <w:t>富平县薛镇人民政府（本级）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富平县薛镇人民政府（本级）</w:t>
      </w:r>
      <w:r>
        <w:rPr>
          <w:rFonts w:ascii="仿宋_GB2312" w:hAnsi="仿宋_GB2312" w:cs="仿宋_GB2312" w:eastAsia="仿宋_GB2312"/>
        </w:rPr>
        <w:t>委托，拟对</w:t>
      </w:r>
      <w:r>
        <w:rPr>
          <w:rFonts w:ascii="仿宋_GB2312" w:hAnsi="仿宋_GB2312" w:cs="仿宋_GB2312" w:eastAsia="仿宋_GB2312"/>
        </w:rPr>
        <w:t>2025年富平县薛镇杨范村巷道排水项目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2025年富平县薛镇杨范村巷道排水项目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铺设DN30波纹管1120m,DN50波纹管210m,破除硬化巷道168m²,雨水篦子87个，检查井45个，收水井10个。（详见工程量清单）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采购包1（2025年富平县薛镇杨范村巷道排水项目）：属于专门面向中小企业采购。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3、资质证书：需具有建设行政主管部门核发的市政公用工程施工总承包三级及以上资质；</w:t>
      </w:r>
    </w:p>
    <w:p>
      <w:pPr>
        <w:pStyle w:val="null3"/>
      </w:pPr>
      <w:r>
        <w:rPr>
          <w:rFonts w:ascii="仿宋_GB2312" w:hAnsi="仿宋_GB2312" w:cs="仿宋_GB2312" w:eastAsia="仿宋_GB2312"/>
        </w:rPr>
        <w:t>4、安全许可证：须具有建设行政主管部门核发有效的安全生产许可证；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富平县薛镇人民政府（本级）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富平县薛镇街道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罗稳军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18240835093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富平县薛镇人民政府（本级）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富平县薛镇人民政府（本级）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富平县薛镇人民政府（本级）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 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679,304.67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2025年富平县薛镇杨范村巷道排水项目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标的名称：2025年富平县薛镇杨范村巷道排水项目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项目内容：</w:t>
            </w:r>
            <w:r>
              <w:rPr>
                <w:rFonts w:ascii="仿宋_GB2312" w:hAnsi="仿宋_GB2312" w:cs="仿宋_GB2312" w:eastAsia="仿宋_GB2312"/>
                <w:sz w:val="21"/>
              </w:rPr>
              <w:t>铺设DN30波纹管1120m,DN50波纹管210m,破除硬化巷道168m²,雨水篦子87个，检查井45个，收水井10个。</w:t>
            </w:r>
            <w:r>
              <w:rPr>
                <w:rFonts w:ascii="仿宋_GB2312" w:hAnsi="仿宋_GB2312" w:cs="仿宋_GB2312" w:eastAsia="仿宋_GB2312"/>
                <w:sz w:val="21"/>
              </w:rPr>
              <w:t>（详见工程量清单）</w:t>
            </w:r>
          </w:p>
          <w:p>
            <w:pPr>
              <w:pStyle w:val="null3"/>
            </w:pPr>
            <w:r>
              <w:rPr>
                <w:rFonts w:ascii="仿宋_GB2312" w:hAnsi="仿宋_GB2312" w:cs="仿宋_GB2312" w:eastAsia="仿宋_GB2312"/>
                <w:sz w:val="21"/>
              </w:rPr>
              <w:t>工</w:t>
            </w:r>
            <w:r>
              <w:rPr>
                <w:rFonts w:ascii="仿宋_GB2312" w:hAnsi="仿宋_GB2312" w:cs="仿宋_GB2312" w:eastAsia="仿宋_GB2312"/>
                <w:sz w:val="21"/>
              </w:rPr>
              <w:t xml:space="preserve">  </w:t>
            </w:r>
            <w:r>
              <w:rPr>
                <w:rFonts w:ascii="仿宋_GB2312" w:hAnsi="仿宋_GB2312" w:cs="仿宋_GB2312" w:eastAsia="仿宋_GB2312"/>
                <w:sz w:val="21"/>
              </w:rPr>
              <w:t>期：</w:t>
            </w:r>
            <w:r>
              <w:rPr>
                <w:rFonts w:ascii="仿宋_GB2312" w:hAnsi="仿宋_GB2312" w:cs="仿宋_GB2312" w:eastAsia="仿宋_GB2312"/>
                <w:sz w:val="21"/>
              </w:rPr>
              <w:t>30日历天（具体起止日期以合同签订时间为准）</w:t>
            </w:r>
          </w:p>
          <w:p>
            <w:pPr>
              <w:pStyle w:val="null3"/>
            </w:pPr>
            <w:r>
              <w:rPr>
                <w:rFonts w:ascii="仿宋_GB2312" w:hAnsi="仿宋_GB2312" w:cs="仿宋_GB2312" w:eastAsia="仿宋_GB2312"/>
                <w:sz w:val="21"/>
              </w:rPr>
              <w:t>合同履约地点：甲方指定地点</w:t>
            </w:r>
          </w:p>
          <w:p>
            <w:pPr>
              <w:pStyle w:val="null3"/>
            </w:pPr>
            <w:r>
              <w:rPr>
                <w:rFonts w:ascii="仿宋_GB2312" w:hAnsi="仿宋_GB2312" w:cs="仿宋_GB2312" w:eastAsia="仿宋_GB2312"/>
                <w:sz w:val="21"/>
                <w:color w:val="000000"/>
              </w:rPr>
              <w:t>工程质量：合格</w:t>
            </w:r>
          </w:p>
          <w:p>
            <w:pPr>
              <w:pStyle w:val="null3"/>
              <w:jc w:val="both"/>
            </w:pPr>
            <w:r>
              <w:rPr>
                <w:rFonts w:ascii="仿宋_GB2312" w:hAnsi="仿宋_GB2312" w:cs="仿宋_GB2312" w:eastAsia="仿宋_GB2312"/>
                <w:sz w:val="21"/>
                <w:color w:val="000000"/>
              </w:rPr>
              <w:t>付款方式：合同签订后，支付合同总价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 xml:space="preserve"> 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磋商响应文件签字、盖章</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