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版本号：0617-25A8HZ201920250804002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富平县教育体育局2025-2026学年度大宗食材采购项目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0617-25A8HZ2019</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富平县教育体育局2025-2026学年度大宗食材采购项目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0617-25A8HZ2019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富平县教育体育局2025-2026学年度大宗食材采购项目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生猪定点屠宰证》及《动物防疫条件合格证》；供应商为代理商的须提供《食品经营许可证》或《陕西省生鲜肉经营备案表》，并提供所代理产品生产厂家的《生猪定点屠宰证》及《动物防疫条件合格证》</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生猪定点屠宰证》及《动物防疫条件合格证》；供应商为代理商的须提供《食品经营许可证》或《陕西省生鲜肉经营备案表》，并提供所代理产品生产厂家的《生猪定点屠宰证》及《动物防疫条件合格证》</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生猪定点屠宰证》及《动物防疫条件合格证》；供应商为代理商的须提供《食品经营许可证》或《陕西省生鲜肉经营备案表》，并提供所代理产品生产厂家的《生猪定点屠宰证》及《动物防疫条件合格证》</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生猪定点屠宰证》及《动物防疫条件合格证》；供应商为代理商的须提供《食品经营许可证》或《陕西省生鲜肉经营备案表》，并提供所代理产品生产厂家的《生猪定点屠宰证》及《动物防疫条件合格证》</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西安市南二环西段58号成长大厦11-14层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029-85238494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采购包2：1,500,000.00元</w:t>
            </w:r>
          </w:p>
          <w:p>
            <w:pPr>
              <w:pStyle w:val="null3"/>
            </w:pPr>
            <w:r>
              <w:rPr>
                <w:rFonts w:ascii="仿宋_GB2312" w:hAnsi="仿宋_GB2312" w:cs="仿宋_GB2312" w:eastAsia="仿宋_GB2312"/>
              </w:rPr>
              <w:t>采购包3：1,250,000.00元</w:t>
            </w:r>
          </w:p>
          <w:p>
            <w:pPr>
              <w:pStyle w:val="null3"/>
            </w:pPr>
            <w:r>
              <w:rPr>
                <w:rFonts w:ascii="仿宋_GB2312" w:hAnsi="仿宋_GB2312" w:cs="仿宋_GB2312" w:eastAsia="仿宋_GB2312"/>
              </w:rPr>
              <w:t>采购包4：1,250,000.00元</w:t>
            </w:r>
          </w:p>
          <w:p>
            <w:pPr>
              <w:pStyle w:val="null3"/>
            </w:pPr>
            <w:r>
              <w:rPr>
                <w:rFonts w:ascii="仿宋_GB2312" w:hAnsi="仿宋_GB2312" w:cs="仿宋_GB2312" w:eastAsia="仿宋_GB2312"/>
              </w:rPr>
              <w:t>采购包5：1,200,000.00元</w:t>
            </w:r>
          </w:p>
          <w:p>
            <w:pPr>
              <w:pStyle w:val="null3"/>
            </w:pPr>
            <w:r>
              <w:rPr>
                <w:rFonts w:ascii="仿宋_GB2312" w:hAnsi="仿宋_GB2312" w:cs="仿宋_GB2312" w:eastAsia="仿宋_GB2312"/>
              </w:rPr>
              <w:t>采购包6：1,200,000.00元</w:t>
            </w:r>
          </w:p>
          <w:p>
            <w:pPr>
              <w:pStyle w:val="null3"/>
            </w:pPr>
            <w:r>
              <w:rPr>
                <w:rFonts w:ascii="仿宋_GB2312" w:hAnsi="仿宋_GB2312" w:cs="仿宋_GB2312" w:eastAsia="仿宋_GB2312"/>
              </w:rPr>
              <w:t>采购包7：1,200,000.00元</w:t>
            </w:r>
          </w:p>
          <w:p>
            <w:pPr>
              <w:pStyle w:val="null3"/>
            </w:pPr>
            <w:r>
              <w:rPr>
                <w:rFonts w:ascii="仿宋_GB2312" w:hAnsi="仿宋_GB2312" w:cs="仿宋_GB2312" w:eastAsia="仿宋_GB2312"/>
              </w:rPr>
              <w:t>采购包8：1,500,000.00元</w:t>
            </w:r>
          </w:p>
          <w:p>
            <w:pPr>
              <w:pStyle w:val="null3"/>
            </w:pPr>
            <w:r>
              <w:rPr>
                <w:rFonts w:ascii="仿宋_GB2312" w:hAnsi="仿宋_GB2312" w:cs="仿宋_GB2312" w:eastAsia="仿宋_GB2312"/>
              </w:rPr>
              <w:t>采购包9：1,500,000.00元</w:t>
            </w:r>
          </w:p>
          <w:p>
            <w:pPr>
              <w:pStyle w:val="null3"/>
            </w:pPr>
            <w:r>
              <w:rPr>
                <w:rFonts w:ascii="仿宋_GB2312" w:hAnsi="仿宋_GB2312" w:cs="仿宋_GB2312" w:eastAsia="仿宋_GB2312"/>
              </w:rPr>
              <w:t>采购包10：1,500,000.00元</w:t>
            </w:r>
          </w:p>
          <w:p>
            <w:pPr>
              <w:pStyle w:val="null3"/>
            </w:pPr>
            <w:r>
              <w:rPr>
                <w:rFonts w:ascii="仿宋_GB2312" w:hAnsi="仿宋_GB2312" w:cs="仿宋_GB2312" w:eastAsia="仿宋_GB2312"/>
              </w:rPr>
              <w:t>采购包11：1,500,000.00元</w:t>
            </w:r>
          </w:p>
          <w:p>
            <w:pPr>
              <w:pStyle w:val="null3"/>
            </w:pPr>
            <w:r>
              <w:rPr>
                <w:rFonts w:ascii="仿宋_GB2312" w:hAnsi="仿宋_GB2312" w:cs="仿宋_GB2312" w:eastAsia="仿宋_GB2312"/>
              </w:rPr>
              <w:t>采购包12：3,700,000.00元</w:t>
            </w:r>
          </w:p>
          <w:p>
            <w:pPr>
              <w:pStyle w:val="null3"/>
            </w:pPr>
            <w:r>
              <w:rPr>
                <w:rFonts w:ascii="仿宋_GB2312" w:hAnsi="仿宋_GB2312" w:cs="仿宋_GB2312" w:eastAsia="仿宋_GB2312"/>
              </w:rPr>
              <w:t>采购包13：3,700,000.00元</w:t>
            </w:r>
          </w:p>
          <w:p>
            <w:pPr>
              <w:pStyle w:val="null3"/>
            </w:pPr>
            <w:r>
              <w:rPr>
                <w:rFonts w:ascii="仿宋_GB2312" w:hAnsi="仿宋_GB2312" w:cs="仿宋_GB2312" w:eastAsia="仿宋_GB2312"/>
              </w:rPr>
              <w:t>采购包14：3,700,000.00元</w:t>
            </w:r>
          </w:p>
          <w:p>
            <w:pPr>
              <w:pStyle w:val="null3"/>
            </w:pPr>
            <w:r>
              <w:rPr>
                <w:rFonts w:ascii="仿宋_GB2312" w:hAnsi="仿宋_GB2312" w:cs="仿宋_GB2312" w:eastAsia="仿宋_GB2312"/>
              </w:rPr>
              <w:t>采购包15：3,700,000.00元</w:t>
            </w:r>
          </w:p>
          <w:p>
            <w:pPr>
              <w:pStyle w:val="null3"/>
            </w:pPr>
            <w:r>
              <w:rPr>
                <w:rFonts w:ascii="仿宋_GB2312" w:hAnsi="仿宋_GB2312" w:cs="仿宋_GB2312" w:eastAsia="仿宋_GB2312"/>
              </w:rPr>
              <w:t>采购包16：700,000.00元</w:t>
            </w:r>
          </w:p>
          <w:p>
            <w:pPr>
              <w:pStyle w:val="null3"/>
            </w:pPr>
            <w:r>
              <w:rPr>
                <w:rFonts w:ascii="仿宋_GB2312" w:hAnsi="仿宋_GB2312" w:cs="仿宋_GB2312" w:eastAsia="仿宋_GB2312"/>
              </w:rPr>
              <w:t>采购包17：700,000.00元</w:t>
            </w:r>
          </w:p>
          <w:p>
            <w:pPr>
              <w:pStyle w:val="null3"/>
            </w:pPr>
            <w:r>
              <w:rPr>
                <w:rFonts w:ascii="仿宋_GB2312" w:hAnsi="仿宋_GB2312" w:cs="仿宋_GB2312" w:eastAsia="仿宋_GB2312"/>
              </w:rPr>
              <w:t>采购包18：700,000.00元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p>
          <w:p>
            <w:pPr>
              <w:pStyle w:val="null3"/>
            </w:pPr>
            <w:r>
              <w:rPr>
                <w:rFonts w:ascii="仿宋_GB2312" w:hAnsi="仿宋_GB2312" w:cs="仿宋_GB2312" w:eastAsia="仿宋_GB2312"/>
              </w:rPr>
              <w:t>采购包18：综合评分法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p>
          <w:p>
            <w:pPr>
              <w:pStyle w:val="null3"/>
            </w:pPr>
            <w:r>
              <w:rPr>
                <w:rFonts w:ascii="仿宋_GB2312" w:hAnsi="仿宋_GB2312" w:cs="仿宋_GB2312" w:eastAsia="仿宋_GB2312"/>
              </w:rPr>
              <w:t>采购包18：不接受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采购包18：缴纳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代理服务费收费标准：由中标人按每标段采购预算金额向招标代理机构一次付清招标代理服务费。招标代理服务费的金额以采购预算按照国家发展计划委员会计价格[2002]1980号文件的规定标准计算。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p>
            <w:pPr>
              <w:pStyle w:val="null3"/>
            </w:pPr>
            <w:r>
              <w:rPr>
                <w:rFonts w:ascii="仿宋_GB2312" w:hAnsi="仿宋_GB2312" w:cs="仿宋_GB2312" w:eastAsia="仿宋_GB2312"/>
              </w:rPr>
              <w:t>采购包18：组织现场踏勘：否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pPr>
      <w:r>
        <w:rPr>
          <w:rFonts w:ascii="仿宋_GB2312" w:hAnsi="仿宋_GB2312" w:cs="仿宋_GB2312" w:eastAsia="仿宋_GB2312"/>
        </w:rPr>
        <w:t>采购包18：不允许合同分包。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采购包1：大米1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采购包2：大米2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采购包3：小麦粉1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采购包4：小麦粉2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采购包5：菜籽油1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采购包6：菜籽油2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采购包7：菜籽油3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采购包8：纯牛奶1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采购包9：纯牛奶2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采购包10：纯牛奶3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采购包11：纯牛奶4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采购包12：猪肉1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采购包13：猪肉2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采购包14：猪肉3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采购包15：猪肉4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采购包16：鸡蛋1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采购包17：鸡蛋2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采购包18：鸡蛋3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标的名称：采购包1：大米1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包装要求：独立包装； 2、质量及规格要求：每袋≥25Kg，粳米一级。质量符合国家标准GB/T1354一级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3、配送周期：自2025年9月起，每两周至少配送1次，禁止每次超量配送，配送数量以学校要求为准，临时货物的配送应按照学校要求执行。进入校园的工作人员要主动接受学校管理。配送有效期不大于1/2质保期。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标的名称：采购包2：大米2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包装要求：独立包装； 2、质量及规格要求：每袋≥25Kg，粳米一级。质量符合国家标准GB/T1354一级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3、配送周期：自2025年9月起，每两周至少配送1次，禁止每次超量配送，配送数量以学校要求为准，临时货物的配送应按照学校要求执行。进入校园的工作人员要主动接受学校管理。配送有效期不大于1/2质保期。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标的名称：采购包3：小麦粉1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袋≥25Kg。质量符合国家标准GB1355精制粉标准或特制一等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 5、主要用于蒸馒头和做面条。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标的名称：采购包4：小麦粉2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袋≥25Kg。质量符合国家标准GB1355精制粉标准或特制一等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 5、主要用于蒸馒头和做面条。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标的名称：采购包5：菜籽油1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桶≥16.4L，质量符合国家标准GB1536，符合非转基因压榨型，二级及二级以上（须提供产品的相关证明材料，包括但不限于CMA认证机构近一年内出具的检验报告等）。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标的名称：采购包6：菜籽油2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桶≥16.4L，质量符合国家标准GB1536，符合非转基因压榨型，二级及二级以上（须提供产品的相关证明材料，包括但不限于CMA认证机构近一年内出具的检验报告等）。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标的名称：采购包7：菜籽油3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桶≥16.4L，质量符合国家标准GB1536，符合非转基因压榨型，二级及二级以上（须提供产品的相关证明材料，包括但不限于CMA认证机构近一年内出具的检验报告等）。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标的名称：采购包8：纯牛奶1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标的名称：采购包9：纯牛奶2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标的名称：采购包10：纯牛奶3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标的名称：采购包11：纯牛奶4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标的名称：采购包12：猪肉1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1.总体要求：能够准确、按时配送鲜肉送到采购人指定地点（学校）；鲜肉是指：屠宰后至送达采购人指定地点在48小时内的肉类（最好是24小时）； 2.服务标准：每天按时按点按照采购人前一天的采购肉类计划表将所有鲜肉送到采购人指定地点（500人以上学校可每天或前一天配送；500人以下学校每周至少配送2次，每次配送不超过3日大肉用量），具体要求如下： （1）所有新鲜肉类必须符合食品安全国家标准GB/T 9959.3-2019(鲜、冻猪肉及猪副产品 )及GB2707-2016（鲜（冻）畜、禽产品）标准，品质要求3去（去槽头、腰子、板油）、去骨精瘦肉、五花肉、切段精排。 （2）猪肉必须具备动物检疫合格证明、肉品品质检验合格证，每次配送必须向学校提供每批次合格证证明复印件。 （3）提供的猪肉必须具备合法、合规、有效的“非洲猪瘟检验报告单”，且结果为“阴性”。 （4）鲜度标准：肉质有弹性，手指轻按、塌陷地方马上复弹、脂肪为白色或乳白色、整体色泽光滑、切面红色、微微湿润但不粘手、无淤血、无注水、无寄生虫。 （5）保证随时实物抽检肉质品质等合格，严禁提供注水、注其他物质、病猪、死猪等。肉质紧密，富有弹性；皮薄膘肥，皮无斑点；脂肪呈白色或乳白色，有光泽；瘦肉呈红色或粉红色，有光泽，不发粘；肉无异味、臭味。 （6）每次配送需提供检测报告，检测项目需包含瘦肉精检测。 （7）其他要求： 供应商须至少配备1辆冷链运输车，并提供相关冷链配送证明资料（包括但不限于租赁合同、购买合同等），配送人员需具有有效的健康证明（必须冷链配送以确保食品安全）。 3.履约验收标准 （1）供应商必须确保供应的鲜肉类应保持良好的色泽和新鲜度，符合国家食品质量和卫生标准，粗加工食品原料不得采用边角料以次充好。 （2）供应商能提供每日所配送鲜肉类的动物检验检疫合格证。 （3）验收以甲方学生食堂单位验收为准。供应商每次送货时必须按要求填制配送单据，配送单据包括物资品名、规格、计量单位、数量、单价、配送日期、接收单位（人）、验收单位（人）等要素，配送单据由甲方学生食堂签字验收，验收需由供应商、接收单位（人）、验收单位（人）双方3人签字。 （4）验收时，所供鲜肉类数量、质量不符合要求的，甲方有权要求乙方进行调换或补充，由此产生的费用由乙方承担。 4.采购标的需满足的服务标准、期限、效率等要求： （1）供货商证照齐全，本身具备仓储、配送能力。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（4）供货商所送每一批次食物，进入库房的食材由保管进行验收。 （5）若供货商在供货配送中遇突发事件，应提供详细、合理、有效的处理方案，避免因突发事件导致供货不及时，延误采购方使用。 （6）供货商应针对本招标项目提供生产、物流配送、车辆数量、人员安排等服务方案。 （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 5.验收形式：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标的名称：采购包13：猪肉2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1.总体要求：能够准确、按时配送鲜肉送到采购人指定地点（学校）；鲜肉是指：屠宰后至送达采购人指定地点在48小时内的肉类（最好是24小时）； 2.服务标准：每天按时按点按照采购人前一天的采购肉类计划表将所有鲜肉送到采购人指定地点（500人以上学校可每天或前一天配送；500人以下学校每周至少配送2次，每次配送不超过3日大肉用量），具体要求如下： （1）所有新鲜肉类必须符合食品安全国家标准GB/T 9959.3-2019(鲜、冻猪肉及猪副产品 )及GB2707-2016（鲜（冻）畜、禽产品）标准，品质要求3去（去槽头、腰子、板油）、去骨精瘦肉、五花肉、切段精排。 （2）猪肉必须具备动物检疫合格证明、肉品品质检验合格证，每次配送必须向学校提供每批次合格证证明复印件。 （3）提供的猪肉必须具备合法、合规、有效的“非洲猪瘟检验报告单”，且结果为“阴性”。 （4）鲜度标准：肉质有弹性，手指轻按、塌陷地方马上复弹、脂肪为白色或乳白色、整体色泽光滑、切面红色、微微湿润但不粘手、无淤血、无注水、无寄生虫。 （5）保证随时实物抽检肉质品质等合格，严禁提供注水、注其他物质、病猪、死猪等。肉质紧密，富有弹性；皮薄膘肥，皮无斑点；脂肪呈白色或乳白色，有光泽；瘦肉呈红色或粉红色，有光泽，不发粘；肉无异味、臭味。 （6）每次配送需提供检测报告，检测项目需包含瘦肉精检测。 （7）其他要求： 供应商须至少配备1辆冷链运输车，并提供相关冷链配送证明资料（包括但不限于租赁合同、购买合同等），配送人员需具有有效的健康证明（必须冷链配送以确保食品安全）。 3.履约验收标准 （1）供应商必须确保供应的鲜肉类应保持良好的色泽和新鲜度，符合国家食品质量和卫生标准，粗加工食品原料不得采用边角料以次充好。 （2）供应商能提供每日所配送鲜肉类的动物检验检疫合格证。 （3）验收以甲方学生食堂单位验收为准。供应商每次送货时必须按要求填制配送单据，配送单据包括物资品名、规格、计量单位、数量、单价、配送日期、接收单位（人）、验收单位（人）等要素，配送单据由甲方学生食堂签字验收，验收需由供应商、接收单位（人）、验收单位（人）双方3人签字。 （4）验收时，所供鲜肉类数量、质量不符合要求的，甲方有权要求乙方进行调换或补充，由此产生的费用由乙方承担。 4.采购标的需满足的服务标准、期限、效率等要求： （1）供货商证照齐全，本身具备仓储、配送能力。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（4）供货商所送每一批次食物，进入库房的食材由保管进行验收。 （5）若供货商在供货配送中遇突发事件，应提供详细、合理、有效的处理方案，避免因突发事件导致供货不及时，延误采购方使用。 （6）供货商应针对本招标项目提供生产、物流配送、车辆数量、人员安排等服务方案。 （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 5.验收形式：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标的名称：采购包14：猪肉3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1.总体要求：能够准确、按时配送鲜肉送到采购人指定地点（学校）；鲜肉是指：屠宰后至送达采购人指定地点在48小时内的肉类（最好是24小时）； 2.服务标准：每天按时按点按照采购人前一天的采购肉类计划表将所有鲜肉送到采购人指定地点（500人以上学校可每天或前一天配送；500人以下学校每周至少配送2次，每次配送不超过3日大肉用量），具体要求如下： （1）所有新鲜肉类必须符合食品安全国家标准GB/T 9959.3-2019(鲜、冻猪肉及猪副产品 )及GB2707-2016（鲜（冻）畜、禽产品）标准，品质要求3去（去槽头、腰子、板油）、去骨精瘦肉、五花肉、切段精排。 （2）猪肉必须具备动物检疫合格证明、肉品品质检验合格证，每次配送必须向学校提供每批次合格证证明复印件。 （3）提供的猪肉必须具备合法、合规、有效的“非洲猪瘟检验报告单”，且结果为“阴性”。 （4）鲜度标准：肉质有弹性，手指轻按、塌陷地方马上复弹、脂肪为白色或乳白色、整体色泽光滑、切面红色、微微湿润但不粘手、无淤血、无注水、无寄生虫。 （5）保证随时实物抽检肉质品质等合格，严禁提供注水、注其他物质、病猪、死猪等。肉质紧密，富有弹性；皮薄膘肥，皮无斑点；脂肪呈白色或乳白色，有光泽；瘦肉呈红色或粉红色，有光泽，不发粘；肉无异味、臭味。 （6）每次配送需提供检测报告，检测项目需包含瘦肉精检测。 （7）其他要求： 供应商须至少配备1辆冷链运输车，并提供相关冷链配送证明资料（包括但不限于租赁合同、购买合同等），配送人员需具有有效的健康证明（必须冷链配送以确保食品安全）。 3.履约验收标准 （1）供应商必须确保供应的鲜肉类应保持良好的色泽和新鲜度，符合国家食品质量和卫生标准，粗加工食品原料不得采用边角料以次充好。 （2）供应商能提供每日所配送鲜肉类的动物检验检疫合格证。 （3）验收以甲方学生食堂单位验收为准。供应商每次送货时必须按要求填制配送单据，配送单据包括物资品名、规格、计量单位、数量、单价、配送日期、接收单位（人）、验收单位（人）等要素，配送单据由甲方学生食堂签字验收，验收需由供应商、接收单位（人）、验收单位（人）双方3人签字。 （4）验收时，所供鲜肉类数量、质量不符合要求的，甲方有权要求乙方进行调换或补充，由此产生的费用由乙方承担。 4.采购标的需满足的服务标准、期限、效率等要求： （1）供货商证照齐全，本身具备仓储、配送能力。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（4）供货商所送每一批次食物，进入库房的食材由保管进行验收。 （5）若供货商在供货配送中遇突发事件，应提供详细、合理、有效的处理方案，避免因突发事件导致供货不及时，延误采购方使用。 （6）供货商应针对本招标项目提供生产、物流配送、车辆数量、人员安排等服务方案。 （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 5.验收形式：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标的名称：采购包15：猪肉4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1.总体要求：能够准确、按时配送鲜肉送到采购人指定地点（学校）；鲜肉是指：屠宰后至送达采购人指定地点在48小时内的肉类（最好是24小时）； 2.服务标准：每天按时按点按照采购人前一天的采购肉类计划表将所有鲜肉送到采购人指定地点（500人以上学校可每天或前一天配送；500人以下学校每周至少配送2次，每次配送不超过3日大肉用量），具体要求如下： （1）所有新鲜肉类必须符合食品安全国家标准GB/T 9959.3-2019(鲜、冻猪肉及猪副产品 )及GB2707-2016（鲜（冻）畜、禽产品）标准，品质要求3去（去槽头、腰子、板油）、去骨精瘦肉、五花肉、切段精排。 （2）猪肉必须具备动物检疫合格证明、肉品品质检验合格证，每次配送必须向学校提供每批次合格证证明复印件。 （3）提供的猪肉必须具备合法、合规、有效的“非洲猪瘟检验报告单”，且结果为“阴性”。 （4）鲜度标准：肉质有弹性，手指轻按、塌陷地方马上复弹、脂肪为白色或乳白色、整体色泽光滑、切面红色、微微湿润但不粘手、无淤血、无注水、无寄生虫。 （5）保证随时实物抽检肉质品质等合格，严禁提供注水、注其他物质、病猪、死猪等。肉质紧密，富有弹性；皮薄膘肥，皮无斑点；脂肪呈白色或乳白色，有光泽；瘦肉呈红色或粉红色，有光泽，不发粘；肉无异味、臭味。 （6）每次配送需提供检测报告，检测项目需包含瘦肉精检测。 （7）其他要求： 供应商须至少配备1辆冷链运输车，并提供相关冷链配送证明资料（包括但不限于租赁合同、购买合同等），配送人员需具有有效的健康证明（必须冷链配送以确保食品安全）。 3.履约验收标准 （1）供应商必须确保供应的鲜肉类应保持良好的色泽和新鲜度，符合国家食品质量和卫生标准，粗加工食品原料不得采用边角料以次充好。 （2）供应商能提供每日所配送鲜肉类的动物检验检疫合格证。 （3）验收以甲方学生食堂单位验收为准。供应商每次送货时必须按要求填制配送单据，配送单据包括物资品名、规格、计量单位、数量、单价、配送日期、接收单位（人）、验收单位（人）等要素，配送单据由甲方学生食堂签字验收，验收需由供应商、接收单位（人）、验收单位（人）双方3人签字。 （4）验收时，所供鲜肉类数量、质量不符合要求的，甲方有权要求乙方进行调换或补充，由此产生的费用由乙方承担。 4.采购标的需满足的服务标准、期限、效率等要求： （1）供货商证照齐全，本身具备仓储、配送能力。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（4）供货商所送每一批次食物，进入库房的食材由保管进行验收。 （5）若供货商在供货配送中遇突发事件，应提供详细、合理、有效的处理方案，避免因突发事件导致供货不及时，延误采购方使用。 （6）供货商应针对本招标项目提供生产、物流配送、车辆数量、人员安排等服务方案。 （7）供货商应按照中标约定，提供合格产品，每批次所供货物为同一品质货物，不得以其他品质货物充数，不得有短斤缺两、变质现象，若质量和重量等相关方面未达到要求的，应无条件退回，所产生的一切费用由供货商自理，并按时按要求更换。 5.验收形式：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标的名称：采购包16：鸡蛋1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标的名称：采购包17：鸡蛋2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标的名称：采购包18：鸡蛋3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2025年9月开学至2026年7月学生放假,到期合同终止。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采购包18：</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质量保证期：1年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招标文件第五章评标办法 5.4.6确定中标候选人名单所规定“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内容修改为：“采购包1-采购包18：汇总全体评委对每个投标人的赋分，计算出每个投标人的综合得分，按包得分从高到低顺序排列，推荐前3名为中标候选人。得分相同的，按投标报价由低到高顺序排列。评审得分且最后报价相同的，按照技术指标优劣顺序推荐。评审得分且最后报价且技术指标得分均相同的，成交候选供应商并列。评标委员会按照评标包号顺序推荐中标候选人（即采购包1、采购包2、采购包3……采购包18）。如果供应商同时参与了本项目两个或以上包号的投标活动，评标委员会经评审已推荐该供应商为排序在前包号的第一中标候选人，不再推荐其为排序在后包号的中标候选人。经评审后合格供应商除已被推荐为前序包排名第一的中标候选人外少于三家的本包招标失败。投标文件满足招标文件全部实质性要求，且按照评审因素的量化指标评审得分最高的投标人为排名第一的中标候选人。”如招标文件前后规定不一致，以此处规定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生猪定点屠宰证》及《动物防疫条件合格证》；供应商为代理商的须提供《食品经营许可证》或《陕西省生鲜肉经营备案表》，并提供所代理产品生产厂家的《生猪定点屠宰证》及《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生猪定点屠宰证》及《动物防疫条件合格证》；供应商为代理商的须提供《食品经营许可证》或《陕西省生鲜肉经营备案表》，并提供所代理产品生产厂家的《生猪定点屠宰证》及《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生猪定点屠宰证》及《动物防疫条件合格证》；供应商为代理商的须提供《食品经营许可证》或《陕西省生鲜肉经营备案表》，并提供所代理产品生产厂家的《生猪定点屠宰证》及《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生猪定点屠宰证》及《动物防疫条件合格证》；供应商为代理商的须提供《食品经营许可证》或《陕西省生鲜肉经营备案表》，并提供所代理产品生产厂家的《生猪定点屠宰证》及《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p>
    <w:p>
      <w:pPr>
        <w:pStyle w:val="null3"/>
      </w:pPr>
      <w:r>
        <w:rPr>
          <w:rFonts w:ascii="仿宋_GB2312" w:hAnsi="仿宋_GB2312" w:cs="仿宋_GB2312" w:eastAsia="仿宋_GB2312"/>
        </w:rPr>
        <w:t>采购包18：综合评分法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详见附件：技术商务部分.docx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详见附件：合同0801.docx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