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EB5C9">
      <w:pPr>
        <w:spacing w:line="360" w:lineRule="auto"/>
        <w:jc w:val="center"/>
        <w:outlineLvl w:val="0"/>
        <w:rPr>
          <w:rFonts w:hint="eastAsia" w:ascii="宋体" w:hAnsi="宋体" w:cs="宋体"/>
          <w:b/>
          <w:bCs/>
          <w:color w:val="auto"/>
          <w:sz w:val="30"/>
          <w:szCs w:val="24"/>
          <w:highlight w:val="none"/>
        </w:rPr>
      </w:pPr>
      <w:bookmarkStart w:id="0" w:name="_Toc2910"/>
      <w:bookmarkStart w:id="1" w:name="_Toc5113"/>
      <w:bookmarkStart w:id="2" w:name="_Toc5790"/>
    </w:p>
    <w:p w14:paraId="60FD7380">
      <w:pPr>
        <w:spacing w:line="360" w:lineRule="auto"/>
        <w:jc w:val="center"/>
        <w:outlineLvl w:val="0"/>
        <w:rPr>
          <w:rFonts w:ascii="宋体" w:hAnsi="宋体" w:cs="宋体"/>
          <w:b/>
          <w:bCs/>
          <w:color w:val="auto"/>
          <w:sz w:val="30"/>
          <w:szCs w:val="24"/>
          <w:highlight w:val="none"/>
        </w:rPr>
      </w:pPr>
      <w:r>
        <w:rPr>
          <w:rFonts w:hint="eastAsia" w:ascii="宋体" w:hAnsi="宋体" w:cs="宋体"/>
          <w:b/>
          <w:bCs/>
          <w:color w:val="auto"/>
          <w:sz w:val="30"/>
          <w:szCs w:val="24"/>
          <w:highlight w:val="none"/>
        </w:rPr>
        <w:t>政府采购合同（样例）</w:t>
      </w:r>
      <w:bookmarkEnd w:id="0"/>
      <w:bookmarkEnd w:id="1"/>
      <w:bookmarkEnd w:id="2"/>
    </w:p>
    <w:p w14:paraId="0D348D62">
      <w:pPr>
        <w:spacing w:line="360" w:lineRule="auto"/>
        <w:rPr>
          <w:rFonts w:ascii="宋体" w:hAnsi="宋体" w:cs="宋体"/>
          <w:b/>
          <w:color w:val="auto"/>
          <w:sz w:val="28"/>
          <w:szCs w:val="28"/>
          <w:highlight w:val="none"/>
        </w:rPr>
      </w:pPr>
    </w:p>
    <w:p w14:paraId="1E54840A">
      <w:pPr>
        <w:spacing w:line="360" w:lineRule="auto"/>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w:t>
      </w:r>
      <w:r>
        <w:rPr>
          <w:rFonts w:hint="eastAsia" w:ascii="宋体" w:hAnsi="宋体" w:cs="宋体"/>
          <w:b/>
          <w:color w:val="auto"/>
          <w:sz w:val="28"/>
          <w:szCs w:val="28"/>
          <w:highlight w:val="none"/>
          <w:lang w:val="en-US" w:eastAsia="zh-CN"/>
        </w:rPr>
        <w:t>项目</w:t>
      </w:r>
      <w:r>
        <w:rPr>
          <w:rFonts w:hint="eastAsia" w:ascii="宋体" w:hAnsi="宋体" w:cs="宋体"/>
          <w:b/>
          <w:color w:val="auto"/>
          <w:sz w:val="28"/>
          <w:szCs w:val="28"/>
          <w:highlight w:val="none"/>
          <w:lang w:eastAsia="zh-CN"/>
        </w:rPr>
        <w:t>名称</w:t>
      </w:r>
      <w:r>
        <w:rPr>
          <w:rFonts w:hint="eastAsia" w:ascii="宋体" w:hAnsi="宋体" w:cs="宋体"/>
          <w:b/>
          <w:color w:val="auto"/>
          <w:sz w:val="28"/>
          <w:szCs w:val="28"/>
          <w:highlight w:val="none"/>
        </w:rPr>
        <w:t>）</w:t>
      </w:r>
    </w:p>
    <w:p w14:paraId="627EFA6B">
      <w:pPr>
        <w:spacing w:line="360" w:lineRule="auto"/>
        <w:rPr>
          <w:rFonts w:ascii="宋体" w:hAnsi="宋体" w:cs="宋体"/>
          <w:b/>
          <w:color w:val="auto"/>
          <w:sz w:val="28"/>
          <w:szCs w:val="28"/>
          <w:highlight w:val="none"/>
        </w:rPr>
      </w:pPr>
    </w:p>
    <w:p w14:paraId="083C65A2">
      <w:pPr>
        <w:spacing w:line="360" w:lineRule="auto"/>
        <w:jc w:val="center"/>
        <w:rPr>
          <w:rFonts w:ascii="宋体" w:hAnsi="宋体" w:cs="宋体"/>
          <w:b/>
          <w:color w:val="auto"/>
          <w:sz w:val="28"/>
          <w:szCs w:val="28"/>
          <w:highlight w:val="none"/>
        </w:rPr>
      </w:pPr>
    </w:p>
    <w:p w14:paraId="5E1E6DDB">
      <w:pPr>
        <w:pStyle w:val="8"/>
        <w:rPr>
          <w:rFonts w:ascii="宋体" w:hAnsi="宋体" w:cs="宋体"/>
          <w:color w:val="auto"/>
          <w:highlight w:val="none"/>
        </w:rPr>
      </w:pPr>
    </w:p>
    <w:p w14:paraId="49C7618D">
      <w:pPr>
        <w:spacing w:line="360" w:lineRule="auto"/>
        <w:jc w:val="center"/>
        <w:rPr>
          <w:rFonts w:ascii="宋体" w:hAnsi="宋体" w:cs="宋体"/>
          <w:b/>
          <w:color w:val="auto"/>
          <w:sz w:val="28"/>
          <w:szCs w:val="28"/>
          <w:highlight w:val="none"/>
        </w:rPr>
      </w:pPr>
    </w:p>
    <w:p w14:paraId="1F930A7C">
      <w:pPr>
        <w:spacing w:line="360" w:lineRule="auto"/>
        <w:jc w:val="center"/>
        <w:rPr>
          <w:rFonts w:ascii="宋体" w:hAnsi="宋体" w:cs="宋体"/>
          <w:b/>
          <w:bCs/>
          <w:color w:val="auto"/>
          <w:sz w:val="28"/>
          <w:szCs w:val="28"/>
          <w:highlight w:val="none"/>
        </w:rPr>
      </w:pPr>
      <w:r>
        <w:rPr>
          <w:rFonts w:hint="eastAsia" w:ascii="宋体" w:hAnsi="宋体" w:cs="宋体"/>
          <w:b/>
          <w:color w:val="auto"/>
          <w:sz w:val="28"/>
          <w:szCs w:val="28"/>
          <w:highlight w:val="none"/>
        </w:rPr>
        <w:t>合同编号：</w:t>
      </w:r>
      <w:r>
        <w:rPr>
          <w:rFonts w:hint="eastAsia" w:ascii="宋体" w:hAnsi="宋体" w:cs="宋体"/>
          <w:b/>
          <w:bCs/>
          <w:color w:val="auto"/>
          <w:sz w:val="28"/>
          <w:szCs w:val="28"/>
          <w:highlight w:val="none"/>
        </w:rPr>
        <w:t>XXXX</w:t>
      </w:r>
    </w:p>
    <w:p w14:paraId="3F110549">
      <w:pPr>
        <w:spacing w:line="360" w:lineRule="auto"/>
        <w:rPr>
          <w:rFonts w:ascii="宋体" w:hAnsi="宋体" w:cs="宋体"/>
          <w:b/>
          <w:color w:val="auto"/>
          <w:sz w:val="28"/>
          <w:szCs w:val="28"/>
          <w:highlight w:val="none"/>
        </w:rPr>
      </w:pPr>
    </w:p>
    <w:p w14:paraId="0E834762">
      <w:pPr>
        <w:spacing w:line="360" w:lineRule="auto"/>
        <w:rPr>
          <w:rFonts w:ascii="宋体" w:hAnsi="宋体" w:cs="宋体"/>
          <w:b/>
          <w:color w:val="auto"/>
          <w:sz w:val="28"/>
          <w:szCs w:val="28"/>
          <w:highlight w:val="none"/>
        </w:rPr>
      </w:pPr>
    </w:p>
    <w:p w14:paraId="55C3EE47">
      <w:pPr>
        <w:spacing w:line="360" w:lineRule="auto"/>
        <w:rPr>
          <w:rFonts w:ascii="宋体" w:hAnsi="宋体" w:cs="宋体"/>
          <w:b/>
          <w:color w:val="auto"/>
          <w:sz w:val="28"/>
          <w:szCs w:val="28"/>
          <w:highlight w:val="none"/>
        </w:rPr>
      </w:pPr>
    </w:p>
    <w:p w14:paraId="714AD46D">
      <w:pPr>
        <w:spacing w:line="360" w:lineRule="auto"/>
        <w:rPr>
          <w:rFonts w:ascii="宋体" w:hAnsi="宋体" w:cs="宋体"/>
          <w:b/>
          <w:color w:val="auto"/>
          <w:sz w:val="28"/>
          <w:szCs w:val="28"/>
          <w:highlight w:val="none"/>
        </w:rPr>
      </w:pPr>
    </w:p>
    <w:p w14:paraId="75262879">
      <w:pPr>
        <w:spacing w:line="360" w:lineRule="auto"/>
        <w:rPr>
          <w:rFonts w:ascii="宋体" w:hAnsi="宋体" w:cs="宋体"/>
          <w:b/>
          <w:color w:val="auto"/>
          <w:sz w:val="28"/>
          <w:szCs w:val="28"/>
          <w:highlight w:val="none"/>
        </w:rPr>
      </w:pPr>
    </w:p>
    <w:p w14:paraId="0AD07A70">
      <w:pPr>
        <w:pStyle w:val="11"/>
        <w:rPr>
          <w:rFonts w:ascii="宋体" w:hAnsi="宋体" w:cs="宋体"/>
          <w:b/>
          <w:color w:val="auto"/>
          <w:sz w:val="28"/>
          <w:szCs w:val="28"/>
          <w:highlight w:val="none"/>
        </w:rPr>
      </w:pPr>
    </w:p>
    <w:p w14:paraId="1DEC543B">
      <w:pPr>
        <w:pStyle w:val="11"/>
        <w:rPr>
          <w:rFonts w:ascii="宋体" w:hAnsi="宋体" w:cs="宋体"/>
          <w:b/>
          <w:color w:val="auto"/>
          <w:sz w:val="28"/>
          <w:szCs w:val="28"/>
          <w:highlight w:val="none"/>
        </w:rPr>
      </w:pPr>
    </w:p>
    <w:p w14:paraId="68A64056">
      <w:pPr>
        <w:pStyle w:val="11"/>
        <w:rPr>
          <w:rFonts w:ascii="宋体" w:hAnsi="宋体" w:cs="宋体"/>
          <w:b/>
          <w:color w:val="auto"/>
          <w:sz w:val="28"/>
          <w:szCs w:val="28"/>
          <w:highlight w:val="none"/>
        </w:rPr>
      </w:pPr>
    </w:p>
    <w:p w14:paraId="16D2AACD">
      <w:pPr>
        <w:spacing w:line="360" w:lineRule="auto"/>
        <w:rPr>
          <w:rFonts w:ascii="宋体" w:hAnsi="宋体" w:cs="宋体"/>
          <w:b/>
          <w:color w:val="auto"/>
          <w:sz w:val="28"/>
          <w:szCs w:val="28"/>
          <w:highlight w:val="none"/>
        </w:rPr>
      </w:pPr>
    </w:p>
    <w:p w14:paraId="5EF914AA">
      <w:pPr>
        <w:pStyle w:val="2"/>
      </w:pPr>
    </w:p>
    <w:p w14:paraId="5A7E0F25">
      <w:pPr>
        <w:spacing w:line="360" w:lineRule="auto"/>
        <w:rPr>
          <w:rFonts w:ascii="宋体" w:hAnsi="宋体" w:cs="宋体"/>
          <w:b/>
          <w:color w:val="auto"/>
          <w:sz w:val="28"/>
          <w:szCs w:val="28"/>
          <w:highlight w:val="none"/>
        </w:rPr>
      </w:pPr>
    </w:p>
    <w:p w14:paraId="77745486">
      <w:pPr>
        <w:spacing w:line="360" w:lineRule="auto"/>
        <w:rPr>
          <w:rFonts w:ascii="宋体" w:hAnsi="宋体" w:cs="宋体"/>
          <w:b/>
          <w:color w:val="auto"/>
          <w:sz w:val="28"/>
          <w:szCs w:val="28"/>
          <w:highlight w:val="none"/>
        </w:rPr>
      </w:pPr>
    </w:p>
    <w:p w14:paraId="34582464">
      <w:pPr>
        <w:adjustRightInd w:val="0"/>
        <w:snapToGrid w:val="0"/>
        <w:spacing w:line="360" w:lineRule="auto"/>
        <w:jc w:val="center"/>
        <w:rPr>
          <w:rFonts w:ascii="宋体" w:hAnsi="宋体" w:cs="宋体"/>
          <w:b/>
          <w:color w:val="auto"/>
          <w:spacing w:val="23"/>
          <w:sz w:val="28"/>
          <w:szCs w:val="28"/>
          <w:highlight w:val="none"/>
        </w:rPr>
      </w:pPr>
      <w:r>
        <w:rPr>
          <w:rFonts w:hint="eastAsia" w:ascii="宋体" w:hAnsi="宋体" w:cs="宋体"/>
          <w:b/>
          <w:color w:val="auto"/>
          <w:spacing w:val="23"/>
          <w:sz w:val="28"/>
          <w:szCs w:val="28"/>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采购人</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w:t>
      </w:r>
      <w:r>
        <w:rPr>
          <w:rFonts w:hint="eastAsia" w:ascii="宋体" w:hAnsi="宋体" w:cs="宋体"/>
          <w:color w:val="auto"/>
          <w:spacing w:val="23"/>
          <w:sz w:val="28"/>
          <w:szCs w:val="28"/>
          <w:highlight w:val="none"/>
          <w:u w:val="single"/>
        </w:rPr>
        <w:t></w:t>
      </w:r>
    </w:p>
    <w:p w14:paraId="00C9D4E0">
      <w:pPr>
        <w:adjustRightInd w:val="0"/>
        <w:snapToGrid w:val="0"/>
        <w:spacing w:line="360" w:lineRule="auto"/>
        <w:jc w:val="center"/>
        <w:rPr>
          <w:rFonts w:ascii="宋体" w:hAnsi="宋体" w:cs="宋体"/>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乙方</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(投标人)：</w:t>
      </w:r>
      <w:r>
        <w:rPr>
          <w:rFonts w:hint="eastAsia" w:ascii="宋体" w:hAnsi="宋体" w:cs="宋体"/>
          <w:color w:val="auto"/>
          <w:spacing w:val="23"/>
          <w:sz w:val="28"/>
          <w:szCs w:val="28"/>
          <w:highlight w:val="none"/>
          <w:u w:val="single"/>
        </w:rPr>
        <w:t></w:t>
      </w:r>
    </w:p>
    <w:p w14:paraId="24ED5685">
      <w:pPr>
        <w:adjustRightInd w:val="0"/>
        <w:snapToGrid w:val="0"/>
        <w:spacing w:line="360" w:lineRule="auto"/>
        <w:jc w:val="center"/>
        <w:rPr>
          <w:rFonts w:ascii="宋体" w:hAnsi="宋体" w:cs="宋体"/>
          <w:b/>
          <w:color w:val="auto"/>
          <w:sz w:val="28"/>
          <w:szCs w:val="28"/>
          <w:highlight w:val="none"/>
        </w:rPr>
      </w:pPr>
      <w:r>
        <w:rPr>
          <w:rFonts w:hint="eastAsia" w:ascii="宋体" w:hAnsi="宋体" w:cs="宋体"/>
          <w:b/>
          <w:color w:val="auto"/>
          <w:spacing w:val="23"/>
          <w:sz w:val="28"/>
          <w:szCs w:val="28"/>
          <w:highlight w:val="none"/>
        </w:rPr>
        <w:t>签订时间：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月</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日</w:t>
      </w:r>
    </w:p>
    <w:p w14:paraId="1D604CE1">
      <w:pPr>
        <w:widowControl/>
        <w:spacing w:line="360" w:lineRule="auto"/>
        <w:ind w:firstLine="562" w:firstLineChars="200"/>
        <w:jc w:val="center"/>
        <w:rPr>
          <w:rFonts w:hint="eastAsia" w:ascii="宋体" w:hAnsi="宋体" w:eastAsia="宋体" w:cs="宋体"/>
          <w:b/>
          <w:color w:val="auto"/>
          <w:sz w:val="28"/>
          <w:szCs w:val="28"/>
          <w:highlight w:val="none"/>
        </w:rPr>
      </w:pPr>
    </w:p>
    <w:p w14:paraId="0024C691">
      <w:pPr>
        <w:widowControl/>
        <w:spacing w:line="360" w:lineRule="auto"/>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合同范本</w:t>
      </w:r>
    </w:p>
    <w:p w14:paraId="11EE067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甲方(采购人)：</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p>
    <w:p w14:paraId="0B4E0BA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 xml:space="preserve">              </w:t>
      </w:r>
    </w:p>
    <w:p w14:paraId="1DF42F67">
      <w:pPr>
        <w:pStyle w:val="12"/>
        <w:spacing w:line="360" w:lineRule="auto"/>
        <w:ind w:firstLine="480"/>
        <w:rPr>
          <w:rFonts w:hint="eastAsia" w:ascii="宋体" w:hAnsi="宋体" w:eastAsia="宋体" w:cs="宋体"/>
          <w:color w:val="auto"/>
          <w:highlight w:val="none"/>
        </w:rPr>
      </w:pPr>
      <w:r>
        <w:rPr>
          <w:rFonts w:hint="eastAsia" w:ascii="宋体" w:hAnsi="宋体" w:eastAsia="宋体" w:cs="宋体"/>
          <w:bCs/>
          <w:color w:val="auto"/>
          <w:highlight w:val="none"/>
        </w:rPr>
        <w:t>甲乙双方经协商一致，订立本合同，</w:t>
      </w:r>
      <w:r>
        <w:rPr>
          <w:rFonts w:hint="eastAsia" w:ascii="宋体" w:hAnsi="宋体" w:eastAsia="宋体" w:cs="宋体"/>
          <w:color w:val="auto"/>
          <w:highlight w:val="none"/>
        </w:rPr>
        <w:t>根据《中华人民共和国</w:t>
      </w:r>
      <w:r>
        <w:rPr>
          <w:rFonts w:hint="eastAsia" w:ascii="宋体" w:hAnsi="宋体" w:eastAsia="宋体" w:cs="宋体"/>
          <w:color w:val="auto"/>
          <w:highlight w:val="none"/>
          <w:lang w:val="en-US" w:eastAsia="zh-CN"/>
        </w:rPr>
        <w:t>民法典</w:t>
      </w:r>
      <w:r>
        <w:rPr>
          <w:rFonts w:hint="eastAsia" w:ascii="宋体" w:hAnsi="宋体" w:eastAsia="宋体" w:cs="宋体"/>
          <w:color w:val="auto"/>
          <w:highlight w:val="none"/>
        </w:rPr>
        <w:t>》《中华人民共和国政府采购法》及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highlight w:val="none"/>
        </w:rPr>
        <w:t>的</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、乙方的</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及</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通知书，甲、乙双方同意签订本合同。详细技术说明及其他有关合同项目的特定信息由合同附件予以说明，合同附件及本项目的</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通知书等均为本合同不可分割的部分。双方同意共同遵守如下条款：</w:t>
      </w:r>
    </w:p>
    <w:p w14:paraId="20380B53">
      <w:pPr>
        <w:widowControl/>
        <w:numPr>
          <w:ilvl w:val="0"/>
          <w:numId w:val="0"/>
        </w:num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 xml:space="preserve"> 采购内容：</w:t>
      </w:r>
    </w:p>
    <w:tbl>
      <w:tblPr>
        <w:tblStyle w:val="9"/>
        <w:tblW w:w="9240" w:type="dxa"/>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785"/>
        <w:gridCol w:w="1568"/>
        <w:gridCol w:w="1134"/>
        <w:gridCol w:w="1275"/>
        <w:gridCol w:w="1035"/>
        <w:gridCol w:w="1176"/>
        <w:gridCol w:w="1583"/>
      </w:tblGrid>
      <w:tr w14:paraId="725BC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right w:val="single" w:color="000000" w:sz="8" w:space="0"/>
            </w:tcBorders>
            <w:noWrap w:val="0"/>
            <w:vAlign w:val="center"/>
          </w:tcPr>
          <w:p w14:paraId="6A0F8A4D">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785" w:type="dxa"/>
            <w:tcBorders>
              <w:left w:val="single" w:color="000000" w:sz="8" w:space="0"/>
            </w:tcBorders>
            <w:noWrap w:val="0"/>
            <w:vAlign w:val="center"/>
          </w:tcPr>
          <w:p w14:paraId="63821230">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p>
        </w:tc>
        <w:tc>
          <w:tcPr>
            <w:tcW w:w="1568" w:type="dxa"/>
            <w:noWrap w:val="0"/>
            <w:vAlign w:val="center"/>
          </w:tcPr>
          <w:p w14:paraId="32BA387B">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规格/参数</w:t>
            </w:r>
          </w:p>
        </w:tc>
        <w:tc>
          <w:tcPr>
            <w:tcW w:w="1134" w:type="dxa"/>
            <w:noWrap w:val="0"/>
            <w:vAlign w:val="center"/>
          </w:tcPr>
          <w:p w14:paraId="4D255DB4">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品牌</w:t>
            </w:r>
            <w:r>
              <w:rPr>
                <w:rFonts w:hint="eastAsia" w:ascii="宋体" w:hAnsi="宋体" w:eastAsia="宋体" w:cs="宋体"/>
                <w:color w:val="auto"/>
                <w:highlight w:val="none"/>
                <w:lang w:val="en-US" w:eastAsia="zh-CN"/>
              </w:rPr>
              <w:t>/型号</w:t>
            </w:r>
          </w:p>
        </w:tc>
        <w:tc>
          <w:tcPr>
            <w:tcW w:w="1275" w:type="dxa"/>
            <w:noWrap w:val="0"/>
            <w:vAlign w:val="center"/>
          </w:tcPr>
          <w:p w14:paraId="703482FB">
            <w:pPr>
              <w:pStyle w:val="13"/>
              <w:jc w:val="center"/>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质保期</w:t>
            </w:r>
          </w:p>
        </w:tc>
        <w:tc>
          <w:tcPr>
            <w:tcW w:w="1035" w:type="dxa"/>
            <w:noWrap w:val="0"/>
            <w:vAlign w:val="center"/>
          </w:tcPr>
          <w:p w14:paraId="2521A2B8">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76" w:type="dxa"/>
            <w:tcBorders>
              <w:right w:val="single" w:color="000000" w:sz="8" w:space="0"/>
            </w:tcBorders>
            <w:noWrap w:val="0"/>
            <w:vAlign w:val="center"/>
          </w:tcPr>
          <w:p w14:paraId="64D577FA">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单价(元)</w:t>
            </w:r>
          </w:p>
        </w:tc>
        <w:tc>
          <w:tcPr>
            <w:tcW w:w="1583" w:type="dxa"/>
            <w:tcBorders>
              <w:left w:val="single" w:color="000000" w:sz="8" w:space="0"/>
              <w:right w:val="single" w:color="000000" w:sz="8" w:space="0"/>
            </w:tcBorders>
            <w:noWrap w:val="0"/>
            <w:vAlign w:val="center"/>
          </w:tcPr>
          <w:p w14:paraId="5193783F">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总</w:t>
            </w:r>
            <w:r>
              <w:rPr>
                <w:rFonts w:hint="eastAsia" w:ascii="宋体" w:hAnsi="宋体" w:eastAsia="宋体" w:cs="宋体"/>
                <w:color w:val="auto"/>
                <w:highlight w:val="none"/>
                <w:lang w:val="en-US" w:eastAsia="zh-CN"/>
              </w:rPr>
              <w:t>价</w:t>
            </w:r>
            <w:r>
              <w:rPr>
                <w:rFonts w:hint="eastAsia" w:ascii="宋体" w:hAnsi="宋体" w:eastAsia="宋体" w:cs="宋体"/>
                <w:color w:val="auto"/>
                <w:highlight w:val="none"/>
              </w:rPr>
              <w:t>(元)</w:t>
            </w:r>
          </w:p>
        </w:tc>
      </w:tr>
      <w:tr w14:paraId="40B63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37493704">
            <w:pPr>
              <w:pStyle w:val="13"/>
              <w:jc w:val="center"/>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w:t>
            </w:r>
          </w:p>
        </w:tc>
        <w:tc>
          <w:tcPr>
            <w:tcW w:w="785" w:type="dxa"/>
            <w:noWrap w:val="0"/>
            <w:vAlign w:val="center"/>
          </w:tcPr>
          <w:p w14:paraId="541A96F4">
            <w:pPr>
              <w:pStyle w:val="13"/>
              <w:jc w:val="center"/>
              <w:rPr>
                <w:rFonts w:hint="eastAsia" w:ascii="宋体" w:hAnsi="宋体" w:eastAsia="宋体" w:cs="宋体"/>
                <w:color w:val="auto"/>
                <w:highlight w:val="none"/>
              </w:rPr>
            </w:pPr>
          </w:p>
        </w:tc>
        <w:tc>
          <w:tcPr>
            <w:tcW w:w="1568" w:type="dxa"/>
            <w:noWrap w:val="0"/>
            <w:vAlign w:val="center"/>
          </w:tcPr>
          <w:p w14:paraId="4CECD8BF">
            <w:pPr>
              <w:pStyle w:val="13"/>
              <w:jc w:val="center"/>
              <w:rPr>
                <w:rFonts w:hint="eastAsia" w:ascii="宋体" w:hAnsi="宋体" w:eastAsia="宋体" w:cs="宋体"/>
                <w:color w:val="auto"/>
                <w:highlight w:val="none"/>
              </w:rPr>
            </w:pPr>
          </w:p>
        </w:tc>
        <w:tc>
          <w:tcPr>
            <w:tcW w:w="1134" w:type="dxa"/>
            <w:noWrap w:val="0"/>
            <w:vAlign w:val="center"/>
          </w:tcPr>
          <w:p w14:paraId="5FC561E0">
            <w:pPr>
              <w:pStyle w:val="13"/>
              <w:jc w:val="center"/>
              <w:rPr>
                <w:rFonts w:hint="eastAsia" w:ascii="宋体" w:hAnsi="宋体" w:eastAsia="宋体" w:cs="宋体"/>
                <w:color w:val="auto"/>
                <w:highlight w:val="none"/>
              </w:rPr>
            </w:pPr>
          </w:p>
        </w:tc>
        <w:tc>
          <w:tcPr>
            <w:tcW w:w="1275" w:type="dxa"/>
            <w:noWrap w:val="0"/>
            <w:vAlign w:val="center"/>
          </w:tcPr>
          <w:p w14:paraId="79A55244">
            <w:pPr>
              <w:pStyle w:val="13"/>
              <w:jc w:val="center"/>
              <w:rPr>
                <w:rFonts w:hint="eastAsia" w:ascii="宋体" w:hAnsi="宋体" w:eastAsia="宋体" w:cs="宋体"/>
                <w:color w:val="auto"/>
                <w:highlight w:val="none"/>
              </w:rPr>
            </w:pPr>
          </w:p>
        </w:tc>
        <w:tc>
          <w:tcPr>
            <w:tcW w:w="1035" w:type="dxa"/>
            <w:noWrap w:val="0"/>
            <w:vAlign w:val="center"/>
          </w:tcPr>
          <w:p w14:paraId="659CF2F1">
            <w:pPr>
              <w:pStyle w:val="13"/>
              <w:jc w:val="center"/>
              <w:rPr>
                <w:rFonts w:hint="eastAsia" w:ascii="宋体" w:hAnsi="宋体" w:eastAsia="宋体" w:cs="宋体"/>
                <w:color w:val="auto"/>
                <w:highlight w:val="none"/>
              </w:rPr>
            </w:pPr>
          </w:p>
        </w:tc>
        <w:tc>
          <w:tcPr>
            <w:tcW w:w="1176" w:type="dxa"/>
            <w:noWrap w:val="0"/>
            <w:vAlign w:val="center"/>
          </w:tcPr>
          <w:p w14:paraId="2785A70C">
            <w:pPr>
              <w:pStyle w:val="13"/>
              <w:jc w:val="center"/>
              <w:rPr>
                <w:rFonts w:hint="eastAsia" w:ascii="宋体" w:hAnsi="宋体" w:eastAsia="宋体" w:cs="宋体"/>
                <w:color w:val="auto"/>
                <w:highlight w:val="none"/>
              </w:rPr>
            </w:pPr>
          </w:p>
        </w:tc>
        <w:tc>
          <w:tcPr>
            <w:tcW w:w="1583" w:type="dxa"/>
            <w:noWrap w:val="0"/>
            <w:vAlign w:val="center"/>
          </w:tcPr>
          <w:p w14:paraId="4ABD59DB">
            <w:pPr>
              <w:pStyle w:val="13"/>
              <w:jc w:val="center"/>
              <w:rPr>
                <w:rFonts w:hint="eastAsia" w:ascii="宋体" w:hAnsi="宋体" w:eastAsia="宋体" w:cs="宋体"/>
                <w:color w:val="auto"/>
                <w:highlight w:val="none"/>
              </w:rPr>
            </w:pPr>
          </w:p>
        </w:tc>
      </w:tr>
      <w:tr w14:paraId="4BD42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755C0D8F">
            <w:pPr>
              <w:pStyle w:val="13"/>
              <w:jc w:val="center"/>
              <w:rPr>
                <w:rFonts w:hint="eastAsia" w:ascii="宋体" w:hAnsi="宋体" w:eastAsia="宋体" w:cs="宋体"/>
                <w:color w:val="auto"/>
                <w:highlight w:val="none"/>
              </w:rPr>
            </w:pPr>
          </w:p>
        </w:tc>
        <w:tc>
          <w:tcPr>
            <w:tcW w:w="785" w:type="dxa"/>
            <w:noWrap w:val="0"/>
            <w:vAlign w:val="center"/>
          </w:tcPr>
          <w:p w14:paraId="3B954F55">
            <w:pPr>
              <w:pStyle w:val="13"/>
              <w:jc w:val="center"/>
              <w:rPr>
                <w:rFonts w:hint="eastAsia" w:ascii="宋体" w:hAnsi="宋体" w:eastAsia="宋体" w:cs="宋体"/>
                <w:color w:val="auto"/>
                <w:highlight w:val="none"/>
              </w:rPr>
            </w:pPr>
          </w:p>
        </w:tc>
        <w:tc>
          <w:tcPr>
            <w:tcW w:w="1568" w:type="dxa"/>
            <w:noWrap w:val="0"/>
            <w:vAlign w:val="center"/>
          </w:tcPr>
          <w:p w14:paraId="06C1BD6C">
            <w:pPr>
              <w:pStyle w:val="13"/>
              <w:jc w:val="center"/>
              <w:rPr>
                <w:rFonts w:hint="eastAsia" w:ascii="宋体" w:hAnsi="宋体" w:eastAsia="宋体" w:cs="宋体"/>
                <w:color w:val="auto"/>
                <w:highlight w:val="none"/>
              </w:rPr>
            </w:pPr>
          </w:p>
        </w:tc>
        <w:tc>
          <w:tcPr>
            <w:tcW w:w="1134" w:type="dxa"/>
            <w:noWrap w:val="0"/>
            <w:vAlign w:val="center"/>
          </w:tcPr>
          <w:p w14:paraId="26D946B8">
            <w:pPr>
              <w:pStyle w:val="13"/>
              <w:jc w:val="center"/>
              <w:rPr>
                <w:rFonts w:hint="eastAsia" w:ascii="宋体" w:hAnsi="宋体" w:eastAsia="宋体" w:cs="宋体"/>
                <w:color w:val="auto"/>
                <w:highlight w:val="none"/>
              </w:rPr>
            </w:pPr>
          </w:p>
        </w:tc>
        <w:tc>
          <w:tcPr>
            <w:tcW w:w="1275" w:type="dxa"/>
            <w:noWrap w:val="0"/>
            <w:vAlign w:val="center"/>
          </w:tcPr>
          <w:p w14:paraId="1D1E4AD1">
            <w:pPr>
              <w:pStyle w:val="13"/>
              <w:jc w:val="center"/>
              <w:rPr>
                <w:rFonts w:hint="eastAsia" w:ascii="宋体" w:hAnsi="宋体" w:eastAsia="宋体" w:cs="宋体"/>
                <w:color w:val="auto"/>
                <w:highlight w:val="none"/>
              </w:rPr>
            </w:pPr>
          </w:p>
        </w:tc>
        <w:tc>
          <w:tcPr>
            <w:tcW w:w="1035" w:type="dxa"/>
            <w:noWrap w:val="0"/>
            <w:vAlign w:val="center"/>
          </w:tcPr>
          <w:p w14:paraId="7A3D5A87">
            <w:pPr>
              <w:pStyle w:val="13"/>
              <w:jc w:val="center"/>
              <w:rPr>
                <w:rFonts w:hint="eastAsia" w:ascii="宋体" w:hAnsi="宋体" w:eastAsia="宋体" w:cs="宋体"/>
                <w:color w:val="auto"/>
                <w:highlight w:val="none"/>
              </w:rPr>
            </w:pPr>
          </w:p>
        </w:tc>
        <w:tc>
          <w:tcPr>
            <w:tcW w:w="1176" w:type="dxa"/>
            <w:noWrap w:val="0"/>
            <w:vAlign w:val="center"/>
          </w:tcPr>
          <w:p w14:paraId="2593AFA0">
            <w:pPr>
              <w:pStyle w:val="13"/>
              <w:jc w:val="center"/>
              <w:rPr>
                <w:rFonts w:hint="eastAsia" w:ascii="宋体" w:hAnsi="宋体" w:eastAsia="宋体" w:cs="宋体"/>
                <w:color w:val="auto"/>
                <w:highlight w:val="none"/>
              </w:rPr>
            </w:pPr>
          </w:p>
        </w:tc>
        <w:tc>
          <w:tcPr>
            <w:tcW w:w="1583" w:type="dxa"/>
            <w:noWrap w:val="0"/>
            <w:vAlign w:val="center"/>
          </w:tcPr>
          <w:p w14:paraId="2B03FF2D">
            <w:pPr>
              <w:pStyle w:val="13"/>
              <w:jc w:val="center"/>
              <w:rPr>
                <w:rFonts w:hint="eastAsia" w:ascii="宋体" w:hAnsi="宋体" w:eastAsia="宋体" w:cs="宋体"/>
                <w:color w:val="auto"/>
                <w:highlight w:val="none"/>
              </w:rPr>
            </w:pPr>
          </w:p>
        </w:tc>
      </w:tr>
      <w:tr w14:paraId="37190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4CF241B4">
            <w:pPr>
              <w:pStyle w:val="13"/>
              <w:jc w:val="center"/>
              <w:rPr>
                <w:rFonts w:hint="eastAsia" w:ascii="宋体" w:hAnsi="宋体" w:eastAsia="宋体" w:cs="宋体"/>
                <w:color w:val="auto"/>
                <w:highlight w:val="none"/>
              </w:rPr>
            </w:pPr>
          </w:p>
        </w:tc>
        <w:tc>
          <w:tcPr>
            <w:tcW w:w="785" w:type="dxa"/>
            <w:noWrap w:val="0"/>
            <w:vAlign w:val="center"/>
          </w:tcPr>
          <w:p w14:paraId="256CB1AE">
            <w:pPr>
              <w:pStyle w:val="13"/>
              <w:jc w:val="center"/>
              <w:rPr>
                <w:rFonts w:hint="eastAsia" w:ascii="宋体" w:hAnsi="宋体" w:eastAsia="宋体" w:cs="宋体"/>
                <w:color w:val="auto"/>
                <w:highlight w:val="none"/>
              </w:rPr>
            </w:pPr>
          </w:p>
        </w:tc>
        <w:tc>
          <w:tcPr>
            <w:tcW w:w="1568" w:type="dxa"/>
            <w:noWrap w:val="0"/>
            <w:vAlign w:val="center"/>
          </w:tcPr>
          <w:p w14:paraId="0B48BFB8">
            <w:pPr>
              <w:pStyle w:val="13"/>
              <w:jc w:val="center"/>
              <w:rPr>
                <w:rFonts w:hint="eastAsia" w:ascii="宋体" w:hAnsi="宋体" w:eastAsia="宋体" w:cs="宋体"/>
                <w:color w:val="auto"/>
                <w:highlight w:val="none"/>
              </w:rPr>
            </w:pPr>
          </w:p>
        </w:tc>
        <w:tc>
          <w:tcPr>
            <w:tcW w:w="1134" w:type="dxa"/>
            <w:noWrap w:val="0"/>
            <w:vAlign w:val="center"/>
          </w:tcPr>
          <w:p w14:paraId="061E2779">
            <w:pPr>
              <w:pStyle w:val="13"/>
              <w:jc w:val="center"/>
              <w:rPr>
                <w:rFonts w:hint="eastAsia" w:ascii="宋体" w:hAnsi="宋体" w:eastAsia="宋体" w:cs="宋体"/>
                <w:color w:val="auto"/>
                <w:highlight w:val="none"/>
              </w:rPr>
            </w:pPr>
          </w:p>
        </w:tc>
        <w:tc>
          <w:tcPr>
            <w:tcW w:w="1275" w:type="dxa"/>
            <w:noWrap w:val="0"/>
            <w:vAlign w:val="center"/>
          </w:tcPr>
          <w:p w14:paraId="28F8EF5C">
            <w:pPr>
              <w:pStyle w:val="13"/>
              <w:jc w:val="center"/>
              <w:rPr>
                <w:rFonts w:hint="eastAsia" w:ascii="宋体" w:hAnsi="宋体" w:eastAsia="宋体" w:cs="宋体"/>
                <w:color w:val="auto"/>
                <w:highlight w:val="none"/>
              </w:rPr>
            </w:pPr>
          </w:p>
        </w:tc>
        <w:tc>
          <w:tcPr>
            <w:tcW w:w="1035" w:type="dxa"/>
            <w:noWrap w:val="0"/>
            <w:vAlign w:val="center"/>
          </w:tcPr>
          <w:p w14:paraId="332F48AB">
            <w:pPr>
              <w:pStyle w:val="13"/>
              <w:jc w:val="center"/>
              <w:rPr>
                <w:rFonts w:hint="eastAsia" w:ascii="宋体" w:hAnsi="宋体" w:eastAsia="宋体" w:cs="宋体"/>
                <w:color w:val="auto"/>
                <w:highlight w:val="none"/>
              </w:rPr>
            </w:pPr>
          </w:p>
        </w:tc>
        <w:tc>
          <w:tcPr>
            <w:tcW w:w="1176" w:type="dxa"/>
            <w:noWrap w:val="0"/>
            <w:vAlign w:val="center"/>
          </w:tcPr>
          <w:p w14:paraId="72DCE27A">
            <w:pPr>
              <w:pStyle w:val="13"/>
              <w:jc w:val="center"/>
              <w:rPr>
                <w:rFonts w:hint="eastAsia" w:ascii="宋体" w:hAnsi="宋体" w:eastAsia="宋体" w:cs="宋体"/>
                <w:color w:val="auto"/>
                <w:highlight w:val="none"/>
              </w:rPr>
            </w:pPr>
          </w:p>
        </w:tc>
        <w:tc>
          <w:tcPr>
            <w:tcW w:w="1583" w:type="dxa"/>
            <w:noWrap w:val="0"/>
            <w:vAlign w:val="center"/>
          </w:tcPr>
          <w:p w14:paraId="2C251D47">
            <w:pPr>
              <w:pStyle w:val="13"/>
              <w:jc w:val="center"/>
              <w:rPr>
                <w:rFonts w:hint="eastAsia" w:ascii="宋体" w:hAnsi="宋体" w:eastAsia="宋体" w:cs="宋体"/>
                <w:color w:val="auto"/>
                <w:highlight w:val="none"/>
              </w:rPr>
            </w:pPr>
          </w:p>
        </w:tc>
      </w:tr>
      <w:tr w14:paraId="00F2C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exact"/>
        </w:trPr>
        <w:tc>
          <w:tcPr>
            <w:tcW w:w="684" w:type="dxa"/>
            <w:tcBorders>
              <w:left w:val="single" w:color="000000" w:sz="8" w:space="0"/>
            </w:tcBorders>
            <w:noWrap w:val="0"/>
            <w:vAlign w:val="center"/>
          </w:tcPr>
          <w:p w14:paraId="3823B6B4">
            <w:pPr>
              <w:pStyle w:val="13"/>
              <w:jc w:val="center"/>
              <w:rPr>
                <w:rFonts w:hint="eastAsia" w:ascii="宋体" w:hAnsi="宋体" w:eastAsia="宋体" w:cs="宋体"/>
                <w:color w:val="auto"/>
                <w:highlight w:val="none"/>
              </w:rPr>
            </w:pPr>
          </w:p>
        </w:tc>
        <w:tc>
          <w:tcPr>
            <w:tcW w:w="785" w:type="dxa"/>
            <w:noWrap w:val="0"/>
            <w:vAlign w:val="center"/>
          </w:tcPr>
          <w:p w14:paraId="17EA1840">
            <w:pPr>
              <w:pStyle w:val="13"/>
              <w:jc w:val="center"/>
              <w:rPr>
                <w:rFonts w:hint="eastAsia" w:ascii="宋体" w:hAnsi="宋体" w:eastAsia="宋体" w:cs="宋体"/>
                <w:color w:val="auto"/>
                <w:highlight w:val="none"/>
              </w:rPr>
            </w:pPr>
          </w:p>
        </w:tc>
        <w:tc>
          <w:tcPr>
            <w:tcW w:w="1568" w:type="dxa"/>
            <w:noWrap w:val="0"/>
            <w:vAlign w:val="center"/>
          </w:tcPr>
          <w:p w14:paraId="127A7BEA">
            <w:pPr>
              <w:pStyle w:val="13"/>
              <w:jc w:val="center"/>
              <w:rPr>
                <w:rFonts w:hint="eastAsia" w:ascii="宋体" w:hAnsi="宋体" w:eastAsia="宋体" w:cs="宋体"/>
                <w:color w:val="auto"/>
                <w:highlight w:val="none"/>
              </w:rPr>
            </w:pPr>
          </w:p>
        </w:tc>
        <w:tc>
          <w:tcPr>
            <w:tcW w:w="1134" w:type="dxa"/>
            <w:noWrap w:val="0"/>
            <w:vAlign w:val="center"/>
          </w:tcPr>
          <w:p w14:paraId="23653A12">
            <w:pPr>
              <w:pStyle w:val="13"/>
              <w:jc w:val="center"/>
              <w:rPr>
                <w:rFonts w:hint="eastAsia" w:ascii="宋体" w:hAnsi="宋体" w:eastAsia="宋体" w:cs="宋体"/>
                <w:color w:val="auto"/>
                <w:highlight w:val="none"/>
              </w:rPr>
            </w:pPr>
          </w:p>
        </w:tc>
        <w:tc>
          <w:tcPr>
            <w:tcW w:w="1275" w:type="dxa"/>
            <w:noWrap w:val="0"/>
            <w:vAlign w:val="center"/>
          </w:tcPr>
          <w:p w14:paraId="2103FFBE">
            <w:pPr>
              <w:pStyle w:val="13"/>
              <w:jc w:val="center"/>
              <w:rPr>
                <w:rFonts w:hint="eastAsia" w:ascii="宋体" w:hAnsi="宋体" w:eastAsia="宋体" w:cs="宋体"/>
                <w:color w:val="auto"/>
                <w:highlight w:val="none"/>
              </w:rPr>
            </w:pPr>
          </w:p>
        </w:tc>
        <w:tc>
          <w:tcPr>
            <w:tcW w:w="1035" w:type="dxa"/>
            <w:noWrap w:val="0"/>
            <w:vAlign w:val="center"/>
          </w:tcPr>
          <w:p w14:paraId="636EFAFD">
            <w:pPr>
              <w:pStyle w:val="13"/>
              <w:jc w:val="center"/>
              <w:rPr>
                <w:rFonts w:hint="eastAsia" w:ascii="宋体" w:hAnsi="宋体" w:eastAsia="宋体" w:cs="宋体"/>
                <w:color w:val="auto"/>
                <w:highlight w:val="none"/>
              </w:rPr>
            </w:pPr>
          </w:p>
        </w:tc>
        <w:tc>
          <w:tcPr>
            <w:tcW w:w="1176" w:type="dxa"/>
            <w:noWrap w:val="0"/>
            <w:vAlign w:val="center"/>
          </w:tcPr>
          <w:p w14:paraId="20C7B07F">
            <w:pPr>
              <w:pStyle w:val="13"/>
              <w:jc w:val="center"/>
              <w:rPr>
                <w:rFonts w:hint="eastAsia" w:ascii="宋体" w:hAnsi="宋体" w:eastAsia="宋体" w:cs="宋体"/>
                <w:color w:val="auto"/>
                <w:highlight w:val="none"/>
              </w:rPr>
            </w:pPr>
          </w:p>
        </w:tc>
        <w:tc>
          <w:tcPr>
            <w:tcW w:w="1583" w:type="dxa"/>
            <w:noWrap w:val="0"/>
            <w:vAlign w:val="center"/>
          </w:tcPr>
          <w:p w14:paraId="1D7E62A0">
            <w:pPr>
              <w:pStyle w:val="13"/>
              <w:jc w:val="center"/>
              <w:rPr>
                <w:rFonts w:hint="eastAsia" w:ascii="宋体" w:hAnsi="宋体" w:eastAsia="宋体" w:cs="宋体"/>
                <w:color w:val="auto"/>
                <w:highlight w:val="none"/>
              </w:rPr>
            </w:pPr>
          </w:p>
        </w:tc>
      </w:tr>
    </w:tbl>
    <w:p w14:paraId="1FDCE926">
      <w:pPr>
        <w:pStyle w:val="3"/>
        <w:widowControl w:val="0"/>
        <w:numPr>
          <w:ilvl w:val="0"/>
          <w:numId w:val="0"/>
        </w:numPr>
        <w:jc w:val="both"/>
        <w:rPr>
          <w:rFonts w:hint="eastAsia" w:ascii="宋体" w:hAnsi="宋体" w:eastAsia="宋体" w:cs="宋体"/>
          <w:color w:val="auto"/>
          <w:highlight w:val="none"/>
        </w:rPr>
      </w:pPr>
    </w:p>
    <w:p w14:paraId="70E375EF">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合同总额包括完成采购范围内全部货物采购及相关伴随服务等全过程的费用。</w:t>
      </w:r>
    </w:p>
    <w:p w14:paraId="21CBA8B7">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注：货物名称内容必须与</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val="en-US"/>
        </w:rPr>
        <w:t>文件中货物名称内容一致。</w:t>
      </w:r>
    </w:p>
    <w:p w14:paraId="2234299D">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二、合同金额：</w:t>
      </w:r>
    </w:p>
    <w:p w14:paraId="553E072A">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合同金额为</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en-US"/>
        </w:rPr>
        <w:t>人民币（大写：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r>
        <w:rPr>
          <w:rFonts w:hint="eastAsia" w:ascii="宋体" w:hAnsi="宋体" w:eastAsia="宋体" w:cs="宋体"/>
          <w:color w:val="auto"/>
          <w:highlight w:val="none"/>
          <w:lang w:val="en-US" w:eastAsia="zh-CN"/>
        </w:rPr>
        <w:t>小写：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p>
    <w:p w14:paraId="44463F13">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三、货物要求：</w:t>
      </w:r>
    </w:p>
    <w:p w14:paraId="645DF77D">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货物为原制造商制造的全新产品，无污染，无侵权行为、表面无划损、无任何缺陷隐患，在中国境内可依常规安全合法使用。</w:t>
      </w:r>
    </w:p>
    <w:p w14:paraId="26B2D1C3">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交付验收标准依次序对照适用标准为：</w:t>
      </w:r>
    </w:p>
    <w:p w14:paraId="6370BD54">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①符合中华人民共和国国家安全质量标准、</w:t>
      </w:r>
      <w:r>
        <w:rPr>
          <w:rFonts w:hint="eastAsia" w:ascii="宋体" w:hAnsi="宋体" w:eastAsia="宋体" w:cs="宋体"/>
          <w:color w:val="auto"/>
          <w:highlight w:val="none"/>
          <w:lang w:val="en-US" w:eastAsia="zh-CN"/>
        </w:rPr>
        <w:t>节能标准、</w:t>
      </w:r>
      <w:r>
        <w:rPr>
          <w:rFonts w:hint="eastAsia" w:ascii="宋体" w:hAnsi="宋体" w:eastAsia="宋体" w:cs="宋体"/>
          <w:color w:val="auto"/>
          <w:highlight w:val="none"/>
          <w:lang w:val="en-US"/>
        </w:rPr>
        <w:t>环保标准或行业标准；</w:t>
      </w:r>
    </w:p>
    <w:p w14:paraId="67E376D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②符合</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lang w:val="en-US"/>
        </w:rPr>
        <w:t>和</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rPr>
        <w:t>中甲方认可的各项要求；</w:t>
      </w:r>
    </w:p>
    <w:p w14:paraId="770C618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highlight w:val="none"/>
          <w:lang w:val="en-US"/>
        </w:rPr>
        <w:t>③货物来源</w:t>
      </w:r>
      <w:r>
        <w:rPr>
          <w:rFonts w:hint="eastAsia" w:ascii="宋体" w:hAnsi="宋体" w:eastAsia="宋体" w:cs="宋体"/>
          <w:color w:val="auto"/>
          <w:highlight w:val="none"/>
          <w:lang w:val="en-US" w:eastAsia="zh-CN"/>
        </w:rPr>
        <w:t>符合相关</w:t>
      </w:r>
      <w:r>
        <w:rPr>
          <w:rFonts w:hint="eastAsia" w:ascii="宋体" w:hAnsi="宋体" w:eastAsia="宋体" w:cs="宋体"/>
          <w:color w:val="auto"/>
          <w:highlight w:val="none"/>
          <w:lang w:val="en-US"/>
        </w:rPr>
        <w:t>标准。</w:t>
      </w:r>
    </w:p>
    <w:p w14:paraId="740815F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四、</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w:t>
      </w:r>
      <w:r>
        <w:rPr>
          <w:rFonts w:hint="eastAsia" w:ascii="宋体" w:hAnsi="宋体" w:eastAsia="宋体" w:cs="宋体"/>
          <w:b/>
          <w:color w:val="auto"/>
          <w:sz w:val="24"/>
          <w:szCs w:val="24"/>
          <w:highlight w:val="none"/>
          <w:lang w:val="en-US" w:eastAsia="zh-CN"/>
        </w:rPr>
        <w:t>期限</w:t>
      </w:r>
      <w:r>
        <w:rPr>
          <w:rFonts w:hint="eastAsia" w:ascii="宋体" w:hAnsi="宋体" w:eastAsia="宋体" w:cs="宋体"/>
          <w:b/>
          <w:color w:val="auto"/>
          <w:sz w:val="24"/>
          <w:szCs w:val="24"/>
          <w:highlight w:val="none"/>
          <w:lang w:val="en-US"/>
        </w:rPr>
        <w:t>及</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货地点：</w:t>
      </w:r>
    </w:p>
    <w:p w14:paraId="7FEB637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b w:val="0"/>
          <w:bCs/>
          <w:color w:val="auto"/>
          <w:sz w:val="24"/>
          <w:szCs w:val="24"/>
          <w:highlight w:val="none"/>
          <w:lang w:val="en-US" w:eastAsia="zh-CN"/>
        </w:rPr>
        <w:t>供</w:t>
      </w:r>
      <w:r>
        <w:rPr>
          <w:rFonts w:hint="eastAsia" w:ascii="宋体" w:hAnsi="宋体" w:eastAsia="宋体" w:cs="宋体"/>
          <w:b w:val="0"/>
          <w:bCs/>
          <w:color w:val="auto"/>
          <w:sz w:val="24"/>
          <w:szCs w:val="24"/>
          <w:highlight w:val="none"/>
          <w:lang w:val="en-US"/>
        </w:rPr>
        <w:t>货</w:t>
      </w:r>
      <w:r>
        <w:rPr>
          <w:rFonts w:hint="eastAsia" w:ascii="宋体" w:hAnsi="宋体" w:eastAsia="宋体" w:cs="宋体"/>
          <w:color w:val="auto"/>
          <w:highlight w:val="none"/>
          <w:lang w:val="en-US" w:eastAsia="zh-CN"/>
        </w:rPr>
        <w:t>期限</w:t>
      </w:r>
      <w:r>
        <w:rPr>
          <w:rFonts w:hint="eastAsia" w:ascii="宋体" w:hAnsi="宋体" w:eastAsia="宋体" w:cs="宋体"/>
          <w:color w:val="auto"/>
          <w:highlight w:val="none"/>
          <w:lang w:val="en-US"/>
        </w:rPr>
        <w:t>：</w:t>
      </w:r>
      <w:r>
        <w:rPr>
          <w:rFonts w:hint="eastAsia" w:ascii="宋体" w:hAnsi="宋体" w:eastAsia="宋体" w:cs="宋体"/>
          <w:b w:val="0"/>
          <w:bCs/>
          <w:color w:val="auto"/>
          <w:kern w:val="1"/>
          <w:sz w:val="24"/>
          <w:highlight w:val="none"/>
          <w:u w:val="single"/>
          <w:lang w:val="en-US" w:eastAsia="zh-CN"/>
        </w:rPr>
        <w:t xml:space="preserve">                 </w:t>
      </w:r>
      <w:r>
        <w:rPr>
          <w:rFonts w:hint="eastAsia" w:ascii="宋体" w:hAnsi="宋体" w:eastAsia="宋体" w:cs="宋体"/>
          <w:color w:val="auto"/>
          <w:highlight w:val="none"/>
          <w:lang w:val="en-US"/>
        </w:rPr>
        <w:t>。</w:t>
      </w:r>
    </w:p>
    <w:p w14:paraId="36B3F2F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供</w:t>
      </w:r>
      <w:r>
        <w:rPr>
          <w:rFonts w:hint="eastAsia" w:ascii="宋体" w:hAnsi="宋体" w:eastAsia="宋体" w:cs="宋体"/>
          <w:color w:val="auto"/>
          <w:highlight w:val="none"/>
          <w:lang w:val="en-US"/>
        </w:rPr>
        <w:t>货地点：</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rPr>
        <w:t>。</w:t>
      </w:r>
    </w:p>
    <w:p w14:paraId="4FC73D63">
      <w:pPr>
        <w:pStyle w:val="14"/>
        <w:keepNext w:val="0"/>
        <w:keepLines w:val="0"/>
        <w:pageBreakBefore w:val="0"/>
        <w:widowControl w:val="0"/>
        <w:numPr>
          <w:ilvl w:val="0"/>
          <w:numId w:val="1"/>
        </w:numPr>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付款方式</w:t>
      </w:r>
      <w:r>
        <w:rPr>
          <w:rFonts w:hint="eastAsia" w:ascii="宋体" w:hAnsi="宋体" w:cs="宋体"/>
          <w:b/>
          <w:color w:val="auto"/>
          <w:kern w:val="2"/>
          <w:sz w:val="24"/>
          <w:szCs w:val="24"/>
          <w:highlight w:val="none"/>
          <w:lang w:val="en-US" w:eastAsia="zh-CN" w:bidi="ar-SA"/>
        </w:rPr>
        <w:t>、质保期及其他要求</w:t>
      </w:r>
      <w:r>
        <w:rPr>
          <w:rFonts w:hint="eastAsia" w:ascii="宋体" w:hAnsi="宋体" w:eastAsia="宋体" w:cs="宋体"/>
          <w:b/>
          <w:color w:val="auto"/>
          <w:kern w:val="2"/>
          <w:sz w:val="24"/>
          <w:szCs w:val="24"/>
          <w:highlight w:val="none"/>
          <w:lang w:val="en-US" w:eastAsia="zh-CN" w:bidi="ar-SA"/>
        </w:rPr>
        <w:t>：</w:t>
      </w:r>
    </w:p>
    <w:p w14:paraId="0F26BAD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val="0"/>
          <w:bCs/>
          <w:color w:val="auto"/>
          <w:kern w:val="2"/>
          <w:sz w:val="24"/>
          <w:szCs w:val="24"/>
          <w:highlight w:val="none"/>
          <w:lang w:val="en-US" w:eastAsia="zh-CN" w:bidi="ar-SA"/>
        </w:rPr>
        <w:t>付款方式</w:t>
      </w:r>
      <w:r>
        <w:rPr>
          <w:rFonts w:hint="eastAsia" w:ascii="宋体" w:hAnsi="宋体" w:eastAsia="宋体" w:cs="宋体"/>
          <w:b w:val="0"/>
          <w:bCs/>
          <w:color w:val="auto"/>
          <w:kern w:val="2"/>
          <w:sz w:val="24"/>
          <w:szCs w:val="24"/>
          <w:highlight w:val="none"/>
          <w:u w:val="none"/>
          <w:lang w:val="en-US" w:eastAsia="zh-CN" w:bidi="ar-SA"/>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23BFDFF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质保期：</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643FE41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其他要求：</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410B2915">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六、甲方的权利与义务</w:t>
      </w:r>
    </w:p>
    <w:p w14:paraId="51321C1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1、甲方协助乙方做好本项目准备工作，包括前期的组织、协调工作；</w:t>
      </w:r>
    </w:p>
    <w:p w14:paraId="16C076C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2、甲方应按照国家法律、法规的规定及本合同的约定编制规划，为乙方的工作提供方便。</w:t>
      </w:r>
    </w:p>
    <w:p w14:paraId="794FFE28">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3、甲方应按照合同要求，向乙方及时支付费用。</w:t>
      </w:r>
    </w:p>
    <w:p w14:paraId="7BC6DA77">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七、乙方的权利与义务</w:t>
      </w:r>
    </w:p>
    <w:p w14:paraId="41D13D0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1、从项目开始至项目结束，乙方应确保项目质量达到合格标准。</w:t>
      </w:r>
    </w:p>
    <w:p w14:paraId="1A8019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val="0"/>
          <w:bCs/>
          <w:color w:val="auto"/>
          <w:kern w:val="1"/>
          <w:sz w:val="24"/>
          <w:highlight w:val="none"/>
          <w:lang w:val="en-US" w:eastAsia="zh-CN"/>
        </w:rPr>
        <w:t>2、乙方有义务向甲方提供进度安排，如因客观原因进度需要变更，乙方必须提前通知甲方。</w:t>
      </w:r>
    </w:p>
    <w:p w14:paraId="2644BF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八、乙方的</w:t>
      </w:r>
      <w:r>
        <w:rPr>
          <w:rFonts w:hint="eastAsia" w:ascii="宋体" w:hAnsi="宋体" w:eastAsia="宋体" w:cs="宋体"/>
          <w:b/>
          <w:color w:val="auto"/>
          <w:sz w:val="24"/>
          <w:szCs w:val="24"/>
          <w:highlight w:val="none"/>
          <w:lang w:val="en-US" w:eastAsia="zh-CN"/>
        </w:rPr>
        <w:fldChar w:fldCharType="begin"/>
      </w:r>
      <w:r>
        <w:rPr>
          <w:rFonts w:hint="eastAsia" w:ascii="宋体" w:hAnsi="宋体" w:eastAsia="宋体" w:cs="宋体"/>
          <w:b/>
          <w:color w:val="auto"/>
          <w:sz w:val="24"/>
          <w:szCs w:val="24"/>
          <w:highlight w:val="none"/>
          <w:lang w:val="en-US" w:eastAsia="zh-CN"/>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sz w:val="24"/>
          <w:szCs w:val="24"/>
          <w:highlight w:val="none"/>
          <w:lang w:val="en-US" w:eastAsia="zh-CN"/>
        </w:rPr>
        <w:fldChar w:fldCharType="separate"/>
      </w:r>
      <w:r>
        <w:rPr>
          <w:rFonts w:hint="eastAsia" w:ascii="宋体" w:hAnsi="宋体" w:eastAsia="宋体" w:cs="宋体"/>
          <w:b/>
          <w:color w:val="auto"/>
          <w:sz w:val="24"/>
          <w:szCs w:val="24"/>
          <w:highlight w:val="none"/>
          <w:lang w:val="en-US" w:eastAsia="zh-CN"/>
        </w:rPr>
        <w:t>违约责任</w:t>
      </w:r>
      <w:r>
        <w:rPr>
          <w:rFonts w:hint="eastAsia" w:ascii="宋体" w:hAnsi="宋体" w:eastAsia="宋体" w:cs="宋体"/>
          <w:b/>
          <w:color w:val="auto"/>
          <w:sz w:val="24"/>
          <w:szCs w:val="24"/>
          <w:highlight w:val="none"/>
          <w:lang w:val="en-US" w:eastAsia="zh-CN"/>
        </w:rPr>
        <w:fldChar w:fldCharType="end"/>
      </w:r>
      <w:r>
        <w:rPr>
          <w:rFonts w:hint="eastAsia" w:ascii="宋体" w:hAnsi="宋体" w:eastAsia="宋体" w:cs="宋体"/>
          <w:b/>
          <w:color w:val="auto"/>
          <w:sz w:val="24"/>
          <w:szCs w:val="24"/>
          <w:highlight w:val="none"/>
          <w:lang w:val="en-US" w:eastAsia="zh-CN"/>
        </w:rPr>
        <w:t>：</w:t>
      </w:r>
    </w:p>
    <w:p w14:paraId="1DE0FE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1、乙方不能按期交货的，每逾期1日，乙方应向甲方赔付合同总价的</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作为违约金。</w:t>
      </w:r>
    </w:p>
    <w:p w14:paraId="4441E441">
      <w:pPr>
        <w:keepNext w:val="0"/>
        <w:keepLines w:val="0"/>
        <w:pageBreakBefore w:val="0"/>
        <w:widowControl w:val="0"/>
        <w:kinsoku/>
        <w:wordWrap/>
        <w:overflowPunct/>
        <w:topLinePunct w:val="0"/>
        <w:autoSpaceDE/>
        <w:autoSpaceDN/>
        <w:bidi w:val="0"/>
        <w:adjustRightInd/>
        <w:snapToGrid/>
        <w:spacing w:line="360" w:lineRule="auto"/>
        <w:ind w:right="-195" w:rightChars="-93"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2、乙方所交</w:t>
      </w:r>
      <w:r>
        <w:rPr>
          <w:rFonts w:hint="eastAsia" w:ascii="宋体" w:hAnsi="宋体" w:eastAsia="宋体" w:cs="宋体"/>
          <w:color w:val="auto"/>
          <w:kern w:val="0"/>
          <w:sz w:val="24"/>
          <w:szCs w:val="24"/>
          <w:highlight w:val="none"/>
          <w:lang w:val="en-US" w:eastAsia="zh-CN"/>
        </w:rPr>
        <w:t>货物</w:t>
      </w:r>
      <w:r>
        <w:rPr>
          <w:rFonts w:hint="eastAsia" w:ascii="宋体" w:hAnsi="宋体" w:eastAsia="宋体" w:cs="宋体"/>
          <w:color w:val="auto"/>
          <w:kern w:val="0"/>
          <w:sz w:val="24"/>
          <w:szCs w:val="24"/>
          <w:highlight w:val="none"/>
        </w:rPr>
        <w:t>不符合国家法律法规和合同规定的，甲方有权拒收，并由乙方承担一切费用。</w:t>
      </w:r>
    </w:p>
    <w:p w14:paraId="1D60FCD0">
      <w:pPr>
        <w:pStyle w:val="14"/>
        <w:keepNext w:val="0"/>
        <w:keepLines w:val="0"/>
        <w:pageBreakBefore w:val="0"/>
        <w:widowControl w:val="0"/>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九、甲方的</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违约责任</w:t>
      </w:r>
      <w:r>
        <w:rPr>
          <w:rFonts w:hint="eastAsia" w:ascii="宋体" w:hAnsi="宋体" w:eastAsia="宋体" w:cs="宋体"/>
          <w:b/>
          <w:color w:val="auto"/>
          <w:kern w:val="2"/>
          <w:sz w:val="24"/>
          <w:szCs w:val="24"/>
          <w:highlight w:val="none"/>
          <w:lang w:val="en-US" w:eastAsia="zh-CN" w:bidi="ar-SA"/>
        </w:rPr>
        <w:fldChar w:fldCharType="end"/>
      </w:r>
      <w:r>
        <w:rPr>
          <w:rFonts w:hint="eastAsia" w:ascii="宋体" w:hAnsi="宋体" w:eastAsia="宋体" w:cs="宋体"/>
          <w:b/>
          <w:color w:val="auto"/>
          <w:kern w:val="2"/>
          <w:sz w:val="24"/>
          <w:szCs w:val="24"/>
          <w:highlight w:val="none"/>
          <w:lang w:val="en-US" w:eastAsia="zh-CN" w:bidi="ar-SA"/>
        </w:rPr>
        <w:t>：</w:t>
      </w:r>
    </w:p>
    <w:p w14:paraId="0C9662D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甲方违反合同规定拒绝接货的，原服务期限相应顺延。</w:t>
      </w:r>
    </w:p>
    <w:p w14:paraId="33B115A6">
      <w:pPr>
        <w:spacing w:line="360" w:lineRule="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十、技术服务承诺</w:t>
      </w:r>
    </w:p>
    <w:p w14:paraId="2D6049FA">
      <w:pPr>
        <w:pStyle w:val="7"/>
        <w:spacing w:before="0" w:beforeAutospacing="0" w:after="120" w:afterAutospacing="0" w:line="360" w:lineRule="auto"/>
        <w:ind w:firstLine="420" w:firstLineChars="175"/>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1、乙方负责提供产品相应的技术资料，包括产品合格证、产品保修单、安装使用及维护说明书以及运输装箱清单等。</w:t>
      </w:r>
    </w:p>
    <w:p w14:paraId="116CE7E5">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2、人员培训：乙方免费为甲方培训产品使用人员，培训内容包括：产品操作、维护、简单维修等。</w:t>
      </w:r>
    </w:p>
    <w:p w14:paraId="4B95C32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2"/>
          <w:sz w:val="24"/>
          <w:szCs w:val="24"/>
          <w:highlight w:val="none"/>
          <w:lang w:val="en-US" w:eastAsia="zh-CN" w:bidi="ar-SA"/>
        </w:rPr>
        <w:t>3、售后服务：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E880F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十一、验收方法及标准</w:t>
      </w:r>
    </w:p>
    <w:p w14:paraId="53792BB7">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验收标准：以国家标准、行业标准或合同文本供货清单中描述的有关技术要求为准。 </w:t>
      </w:r>
    </w:p>
    <w:p w14:paraId="5728D631">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验收方法：</w:t>
      </w:r>
    </w:p>
    <w:p w14:paraId="5830F60F">
      <w:pPr>
        <w:widowControl/>
        <w:numPr>
          <w:ilvl w:val="0"/>
          <w:numId w:val="0"/>
        </w:numPr>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lang w:val="en-US" w:eastAsia="zh-CN" w:bidi="ar-SA"/>
        </w:rPr>
        <w:t>1、</w:t>
      </w:r>
      <w:r>
        <w:rPr>
          <w:rFonts w:hint="eastAsia" w:ascii="宋体" w:hAnsi="宋体" w:eastAsia="宋体" w:cs="宋体"/>
          <w:color w:val="auto"/>
          <w:kern w:val="0"/>
          <w:sz w:val="24"/>
          <w:szCs w:val="24"/>
          <w:highlight w:val="none"/>
          <w:lang w:val="en-US" w:eastAsia="zh-CN"/>
        </w:rPr>
        <w:t>初验：货物到达交货地点后，由使用单位根据合同对货物 (设备) 的名称、品牌、规格、型号、产地、数量进行检查。</w:t>
      </w:r>
    </w:p>
    <w:p w14:paraId="1E3A274C">
      <w:pPr>
        <w:widowControl/>
        <w:numPr>
          <w:ilvl w:val="0"/>
          <w:numId w:val="0"/>
        </w:numPr>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2、终验：所有货物(设备)安装、调试完毕，正常使用30个日历日后，由采购人进行终验 (最终验收) ，合格后签发《终验合格单》。</w:t>
      </w:r>
    </w:p>
    <w:p w14:paraId="71FAF5D4">
      <w:pPr>
        <w:pStyle w:val="14"/>
        <w:tabs>
          <w:tab w:val="left" w:pos="1480"/>
        </w:tabs>
        <w:spacing w:line="520" w:lineRule="exact"/>
        <w:ind w:left="0" w:leftChars="0" w:firstLine="482" w:firstLineChars="20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十二、</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不可抗力</w:t>
      </w:r>
      <w:r>
        <w:rPr>
          <w:rFonts w:hint="eastAsia" w:ascii="宋体" w:hAnsi="宋体" w:eastAsia="宋体" w:cs="宋体"/>
          <w:b/>
          <w:color w:val="auto"/>
          <w:kern w:val="2"/>
          <w:sz w:val="24"/>
          <w:szCs w:val="24"/>
          <w:highlight w:val="none"/>
          <w:lang w:val="en-US" w:eastAsia="zh-CN" w:bidi="ar-SA"/>
        </w:rPr>
        <w:fldChar w:fldCharType="end"/>
      </w:r>
    </w:p>
    <w:p w14:paraId="6285C80C">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1、在合同有效期内，任何一方因不可抗力事件导致不能履行合同，则合同履行期可延长，其延长期与不可抗力影响期相同。</w:t>
      </w:r>
    </w:p>
    <w:p w14:paraId="35FBD57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2、不可抗力事件发生后，应立即通知对方，并寄送有关权威机构出具的证明。</w:t>
      </w:r>
    </w:p>
    <w:p w14:paraId="32155CF8">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3、因国家政策调整或单位职能调整导致合同无法正常履行，双方可协商终止合同。</w:t>
      </w:r>
    </w:p>
    <w:p w14:paraId="406037A2">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4、不可抗力事件延续90天以上，双方应通过友好协商，确定是否继续履行合同。</w:t>
      </w:r>
    </w:p>
    <w:p w14:paraId="26519291">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十三、争议解决</w:t>
      </w:r>
    </w:p>
    <w:p w14:paraId="4493ADD0">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双方本着友好合作的态度,对合同履行过程中发生的</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纠纷</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应及时协商解决,协商不成，</w:t>
      </w:r>
      <w:r>
        <w:rPr>
          <w:rFonts w:hint="eastAsia" w:ascii="宋体" w:hAnsi="宋体" w:eastAsia="宋体" w:cs="宋体"/>
          <w:color w:val="auto"/>
          <w:sz w:val="24"/>
          <w:szCs w:val="24"/>
          <w:highlight w:val="none"/>
        </w:rPr>
        <w:t>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F93C765">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向甲方所在地有管辖权的人民法院诉讼解决</w:t>
      </w:r>
    </w:p>
    <w:p w14:paraId="05AF0A9C">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提请</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仲裁机构进行仲裁</w:t>
      </w:r>
      <w:r>
        <w:rPr>
          <w:rFonts w:hint="eastAsia" w:ascii="宋体" w:hAnsi="宋体" w:eastAsia="宋体" w:cs="宋体"/>
          <w:color w:val="auto"/>
          <w:kern w:val="0"/>
          <w:sz w:val="24"/>
          <w:szCs w:val="24"/>
          <w:highlight w:val="none"/>
        </w:rPr>
        <w:t>。</w:t>
      </w:r>
    </w:p>
    <w:p w14:paraId="77FE4FD9">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十四、监督和管理</w:t>
      </w:r>
    </w:p>
    <w:p w14:paraId="45D75F9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1、政府采购合同履行中，采购人需追加与合同标的相同的货物、工程或者服务的，在不改变合同其他条款的前提下，可以与</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协商签订补充合同，但所有补充合同的采购金额不得超过原合同采购金额的10%。</w:t>
      </w:r>
    </w:p>
    <w:p w14:paraId="21E9E7A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2、甲乙双方均应自觉配合有关监督管理部门对</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合同履行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情况的监督检查，如实反映情况，提供有关资料；否则，将对有关单位、当事人按照有关规定予以处罚。</w:t>
      </w:r>
    </w:p>
    <w:p w14:paraId="539F8124">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十五、</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无效合同</w:t>
      </w:r>
      <w:r>
        <w:rPr>
          <w:rFonts w:hint="eastAsia" w:ascii="宋体" w:hAnsi="宋体" w:eastAsia="宋体" w:cs="宋体"/>
          <w:b/>
          <w:color w:val="auto"/>
          <w:kern w:val="2"/>
          <w:sz w:val="24"/>
          <w:szCs w:val="24"/>
          <w:highlight w:val="none"/>
          <w:lang w:val="en-US" w:eastAsia="zh-CN" w:bidi="ar-SA"/>
        </w:rPr>
        <w:fldChar w:fldCharType="end"/>
      </w:r>
    </w:p>
    <w:p w14:paraId="106445CF">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甲乙双方如因违反政府采购法及相关法律法规的规定，被宣告</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合同无效</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的，一切责任概由过错方自行承担。</w:t>
      </w:r>
    </w:p>
    <w:p w14:paraId="5DDB97BE">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十六、附则</w:t>
      </w:r>
    </w:p>
    <w:p w14:paraId="3FEA5C7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的</w:t>
      </w:r>
      <w:r>
        <w:rPr>
          <w:rFonts w:hint="eastAsia" w:ascii="宋体" w:hAnsi="宋体" w:cs="宋体"/>
          <w:color w:val="auto"/>
          <w:spacing w:val="-6"/>
          <w:sz w:val="24"/>
          <w:szCs w:val="24"/>
          <w:highlight w:val="none"/>
          <w:lang w:val="en-US" w:eastAsia="zh-CN"/>
        </w:rPr>
        <w:t>招标文件</w:t>
      </w:r>
      <w:r>
        <w:rPr>
          <w:rFonts w:hint="eastAsia" w:ascii="宋体" w:hAnsi="宋体" w:eastAsia="宋体" w:cs="宋体"/>
          <w:color w:val="auto"/>
          <w:kern w:val="0"/>
          <w:sz w:val="24"/>
          <w:szCs w:val="24"/>
          <w:highlight w:val="none"/>
        </w:rPr>
        <w:t>、乙方</w:t>
      </w:r>
      <w:r>
        <w:rPr>
          <w:rFonts w:hint="eastAsia" w:ascii="宋体" w:hAnsi="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lang w:val="en-US" w:eastAsia="zh-CN"/>
        </w:rPr>
        <w:t>文件</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val="en-US" w:eastAsia="zh-CN"/>
        </w:rPr>
        <w:t>中标（</w:t>
      </w:r>
      <w:r>
        <w:rPr>
          <w:rFonts w:hint="eastAsia" w:ascii="宋体" w:hAnsi="宋体" w:eastAsia="宋体" w:cs="宋体"/>
          <w:color w:val="auto"/>
          <w:kern w:val="0"/>
          <w:sz w:val="24"/>
          <w:szCs w:val="24"/>
          <w:highlight w:val="none"/>
          <w:lang w:val="en-US" w:eastAsia="zh-CN"/>
        </w:rPr>
        <w:t>成交</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通知书及澄清说明文件都是本合同的组成部分，甲、乙双方必须全面遵守，如有违反，应承担违约责任。</w:t>
      </w:r>
    </w:p>
    <w:p w14:paraId="714A6C4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2、本合同一式四份,甲乙双方各执</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份。</w:t>
      </w:r>
    </w:p>
    <w:p w14:paraId="6387717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3、本合同自签订之日起生效。</w:t>
      </w:r>
    </w:p>
    <w:p w14:paraId="31DDA982">
      <w:pPr>
        <w:pStyle w:val="2"/>
        <w:rPr>
          <w:rFonts w:hint="eastAsia" w:ascii="宋体" w:hAnsi="宋体" w:eastAsia="宋体" w:cs="宋体"/>
          <w:color w:val="auto"/>
          <w:highlight w:val="none"/>
        </w:rPr>
      </w:pPr>
    </w:p>
    <w:p w14:paraId="121252F9">
      <w:pPr>
        <w:pStyle w:val="3"/>
        <w:rPr>
          <w:rFonts w:hint="eastAsia"/>
        </w:rPr>
      </w:pPr>
    </w:p>
    <w:p w14:paraId="1EE25DB4">
      <w:pPr>
        <w:widowControl/>
        <w:spacing w:line="360" w:lineRule="auto"/>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采购人(甲方)：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(乙方)：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p>
    <w:p w14:paraId="2A2F21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 xml:space="preserve">或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或</w:t>
      </w:r>
    </w:p>
    <w:p w14:paraId="6ACC61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p>
    <w:p w14:paraId="3FBBA7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21A6E9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0E4C73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3D69E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57874AAC">
      <w:pPr>
        <w:keepNext w:val="0"/>
        <w:keepLines w:val="0"/>
        <w:pageBreakBefore w:val="0"/>
        <w:widowControl/>
        <w:kinsoku/>
        <w:wordWrap/>
        <w:overflowPunct/>
        <w:topLinePunct w:val="0"/>
        <w:bidi w:val="0"/>
        <w:snapToGrid/>
        <w:spacing w:line="408"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p>
    <w:p w14:paraId="492E7F68">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p>
    <w:p w14:paraId="776571EC">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注：1、本合同条款仅供参考，甲乙双方可根据实际情况进行补充。</w:t>
      </w:r>
    </w:p>
    <w:p w14:paraId="18B228FD">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、采购人应当自中标通知书发出之日起</w:t>
      </w:r>
      <w:r>
        <w:rPr>
          <w:rFonts w:hint="eastAsia" w:ascii="宋体" w:hAnsi="宋体" w:cs="宋体"/>
          <w:b/>
          <w:bCs/>
          <w:color w:val="auto"/>
          <w:sz w:val="24"/>
          <w:szCs w:val="24"/>
          <w:highlight w:val="none"/>
          <w:lang w:val="en-US" w:eastAsia="zh-CN"/>
        </w:rPr>
        <w:t>25</w:t>
      </w:r>
      <w:r>
        <w:rPr>
          <w:rFonts w:hint="eastAsia" w:ascii="宋体" w:hAnsi="宋体" w:eastAsia="宋体" w:cs="宋体"/>
          <w:b/>
          <w:bCs/>
          <w:color w:val="auto"/>
          <w:sz w:val="24"/>
          <w:szCs w:val="24"/>
          <w:highlight w:val="none"/>
          <w:lang w:val="en-US" w:eastAsia="zh-CN"/>
        </w:rPr>
        <w:t>日内与中标人签订合同，且在合同签订后2个工作日内将此合同在陕西省政府采购网进行公示。</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0D5A3"/>
    <w:multiLevelType w:val="singleLevel"/>
    <w:tmpl w:val="54D0D5A3"/>
    <w:lvl w:ilvl="0" w:tentative="0">
      <w:start w:val="5"/>
      <w:numFmt w:val="chineseCounting"/>
      <w:suff w:val="nothing"/>
      <w:lvlText w:val="%1、"/>
      <w:lvlJc w:val="left"/>
      <w:rPr>
        <w:rFonts w:hint="eastAsia"/>
      </w:rPr>
    </w:lvl>
  </w:abstractNum>
  <w:abstractNum w:abstractNumId="1">
    <w:nsid w:val="625CEF40"/>
    <w:multiLevelType w:val="singleLevel"/>
    <w:tmpl w:val="625CEF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10162"/>
    <w:rsid w:val="3ABC562C"/>
    <w:rsid w:val="47910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8"/>
    <w:basedOn w:val="1"/>
    <w:next w:val="1"/>
    <w:qFormat/>
    <w:uiPriority w:val="1"/>
    <w:pPr>
      <w:spacing w:before="1"/>
      <w:ind w:left="223"/>
      <w:outlineLvl w:val="7"/>
    </w:pPr>
    <w:rPr>
      <w:rFonts w:ascii="宋体" w:hAnsi="宋体" w:cs="宋体"/>
      <w:b/>
      <w:bCs/>
      <w:sz w:val="24"/>
      <w:szCs w:val="24"/>
      <w:lang w:val="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5">
    <w:name w:val="Body Text Indent"/>
    <w:basedOn w:val="1"/>
    <w:next w:val="1"/>
    <w:unhideWhenUsed/>
    <w:qFormat/>
    <w:uiPriority w:val="99"/>
    <w:pPr>
      <w:ind w:left="420" w:leftChars="200"/>
    </w:p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next w:val="6"/>
    <w:qFormat/>
    <w:uiPriority w:val="0"/>
    <w:pPr>
      <w:ind w:firstLine="420" w:firstLineChars="200"/>
    </w:pPr>
  </w:style>
  <w:style w:type="paragraph" w:customStyle="1" w:styleId="11">
    <w:name w:val="Footer"/>
    <w:basedOn w:val="1"/>
    <w:autoRedefine/>
    <w:qFormat/>
    <w:uiPriority w:val="0"/>
    <w:pPr>
      <w:tabs>
        <w:tab w:val="center" w:pos="4153"/>
        <w:tab w:val="right" w:pos="8306"/>
      </w:tabs>
      <w:snapToGrid w:val="0"/>
      <w:jc w:val="left"/>
    </w:pPr>
    <w:rPr>
      <w:sz w:val="18"/>
      <w:szCs w:val="18"/>
    </w:rPr>
  </w:style>
  <w:style w:type="paragraph" w:customStyle="1" w:styleId="12">
    <w:name w:val="样式 首行缩进:  2 字符"/>
    <w:basedOn w:val="1"/>
    <w:autoRedefine/>
    <w:qFormat/>
    <w:uiPriority w:val="0"/>
    <w:pPr>
      <w:spacing w:line="400" w:lineRule="exact"/>
      <w:ind w:firstLine="200" w:firstLineChars="200"/>
    </w:pPr>
    <w:rPr>
      <w:rFonts w:cs="宋体" w:asciiTheme="minorHAnsi" w:hAnsiTheme="minorHAnsi" w:eastAsiaTheme="minorEastAsia"/>
      <w:sz w:val="24"/>
      <w:szCs w:val="24"/>
    </w:rPr>
  </w:style>
  <w:style w:type="paragraph" w:customStyle="1" w:styleId="13">
    <w:name w:val="Table Paragraph"/>
    <w:basedOn w:val="1"/>
    <w:autoRedefine/>
    <w:qFormat/>
    <w:uiPriority w:val="1"/>
    <w:pPr>
      <w:autoSpaceDE w:val="0"/>
      <w:autoSpaceDN w:val="0"/>
      <w:adjustRightInd w:val="0"/>
      <w:jc w:val="left"/>
    </w:pPr>
    <w:rPr>
      <w:rFonts w:ascii="Times New Roman" w:hAnsi="Times New Roman"/>
      <w:kern w:val="0"/>
      <w:sz w:val="24"/>
      <w:szCs w:val="24"/>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2019</Words>
  <Characters>2026</Characters>
  <Lines>0</Lines>
  <Paragraphs>0</Paragraphs>
  <TotalTime>3</TotalTime>
  <ScaleCrop>false</ScaleCrop>
  <LinksUpToDate>false</LinksUpToDate>
  <CharactersWithSpaces>2458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2025-06-11T10:45:00Z</dcterms:created>
  <dc:creator>admin</dc:creator>
  <cp:lastModifiedBy>。。。</cp:lastModifiedBy>
  <dcterms:modified xsi:type="dcterms:W3CDTF">2025-08-04T13:08:40Z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4575AA07CD9C4C179608E31F3D606A07_11</vt:lpwstr>
  </property>
  <property fmtid="{D5CDD505-2E9C-101B-9397-08002B2CF9AE}" pid="4" name="KSOTemplateDocerSaveRecord">
    <vt:lpwstr>eyJoZGlkIjoiMmQwNzM2NzQ4MjRiOTYwNmIxMjJlZDMzMThjNDEwMWIiLCJ1c2VySWQiOiI3MDQ3MzM1MjIifQ==</vt:lpwstr>
  </property>
</Properties>
</file>