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版本号：HSZ2025—CGZB—03920250814001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大型血管数字减影机球管维修项目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HSZ2025—CGZB—039</w:t>
      </w:r>
      <w:r>
        <w:br/>
      </w:r>
      <w:r>
        <w:br/>
      </w:r>
      <w:r>
        <w:br/>
      </w:r>
    </w:p>
    <w:p>
      <w:pPr>
        <w:pStyle w:val="null3"/>
        <w:jc w:val="center"/>
        <w:outlineLvl w:val="2"/>
      </w:pPr>
      <w:r>
        <w:rPr>
          <w:rFonts w:ascii="仿宋_GB2312" w:hAnsi="仿宋_GB2312" w:cs="仿宋_GB2312" w:eastAsia="仿宋_GB2312"/>
          <w:sz w:val="28"/>
          <w:b/>
        </w:rPr>
        <w:t>富平县医院</w:t>
      </w:r>
    </w:p>
    <w:p>
      <w:pPr>
        <w:pStyle w:val="null3"/>
        <w:jc w:val="center"/>
        <w:outlineLvl w:val="2"/>
      </w:pPr>
      <w:r>
        <w:rPr>
          <w:rFonts w:ascii="仿宋_GB2312" w:hAnsi="仿宋_GB2312" w:cs="仿宋_GB2312" w:eastAsia="仿宋_GB2312"/>
          <w:sz w:val="28"/>
          <w:b/>
        </w:rPr>
        <w:t>陕西厷森项目管理有限公司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陕西厷森项目管理有限公司</w:t>
      </w:r>
      <w:r>
        <w:rPr>
          <w:rFonts w:ascii="仿宋_GB2312" w:hAnsi="仿宋_GB2312" w:cs="仿宋_GB2312" w:eastAsia="仿宋_GB2312"/>
        </w:rPr>
        <w:t>（以下简称“代理机构”）受</w:t>
      </w:r>
      <w:r>
        <w:rPr>
          <w:rFonts w:ascii="仿宋_GB2312" w:hAnsi="仿宋_GB2312" w:cs="仿宋_GB2312" w:eastAsia="仿宋_GB2312"/>
        </w:rPr>
        <w:t>富平县医院</w:t>
      </w:r>
      <w:r>
        <w:rPr>
          <w:rFonts w:ascii="仿宋_GB2312" w:hAnsi="仿宋_GB2312" w:cs="仿宋_GB2312" w:eastAsia="仿宋_GB2312"/>
        </w:rPr>
        <w:t>委托，拟对</w:t>
      </w:r>
      <w:r>
        <w:rPr>
          <w:rFonts w:ascii="仿宋_GB2312" w:hAnsi="仿宋_GB2312" w:cs="仿宋_GB2312" w:eastAsia="仿宋_GB2312"/>
        </w:rPr>
        <w:t>大型血管数字减影机球管维修项目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HSZ2025—CGZB—039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大型血管数字减影机球管维修项目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球管大、小焦点维修。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采购包1（大型血管数字减影机球管维修项目）：属于专门面向中小企业采购。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年报合格的统一社会信用代码营业执照或事业单位法人证书等国家规定的相关证明，自然人参与的提供其身份证明：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提供法定代表人授权委托书（附法定代表人、被授权人身份证复印件）；法定代表人参加投标只须提供法定代表人身份证明（附法定代表人身份证复印件）：提供法定代表人授权委托书（附法定代表人、被授权人身份证复印件）；法定代表人参加投标只须提供法定代表人身份证明（附法定代表人身份证复印件）；</w:t>
      </w:r>
    </w:p>
    <w:p>
      <w:pPr>
        <w:pStyle w:val="null3"/>
      </w:pPr>
      <w:r>
        <w:rPr>
          <w:rFonts w:ascii="仿宋_GB2312" w:hAnsi="仿宋_GB2312" w:cs="仿宋_GB2312" w:eastAsia="仿宋_GB2312"/>
        </w:rPr>
        <w:t>3、提供2024年度经审计的财务报告（成立时间至递交磋商响应文件截止时间不足一年的可提供成立后任意时段的财务报表）：提供2024年度经审计的财务报告（成立时间至递交磋商响应文件截止时间不足一年的可提供成立后任意时段的财务报表）；</w:t>
      </w:r>
    </w:p>
    <w:p>
      <w:pPr>
        <w:pStyle w:val="null3"/>
      </w:pPr>
      <w:r>
        <w:rPr>
          <w:rFonts w:ascii="仿宋_GB2312" w:hAnsi="仿宋_GB2312" w:cs="仿宋_GB2312" w:eastAsia="仿宋_GB2312"/>
        </w:rPr>
        <w:t>4、提供依法缴纳税收的良好记录（提供递交磋商响应文件截止时间前六个月内任意一个月份的缴纳凭据复印件并加盖单位公章。依法免税或开标前一年内零申报的供应商应提供相关证明文件）：提供依法缴纳税收的良好记录（提供递交磋商响应文件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5、提供依法缴纳社会保障资金的良好记录（提供递交磋商响应文件截止时间前六个月内任意一个月份的缴纳凭据复印件并加盖单位公章。依法不需要缴纳社会保障资金的供应商应提供相关证明文件）：提供依法缴纳社会保障资金的良好记录（提供递交磋商响应文件截止时间前六个月内任意一个月份的缴纳凭据复印件并加盖单位公章。依法不需要缴纳社会保障资金的供应商应提供相关证明文件）；</w:t>
      </w:r>
    </w:p>
    <w:p>
      <w:pPr>
        <w:pStyle w:val="null3"/>
      </w:pPr>
      <w:r>
        <w:rPr>
          <w:rFonts w:ascii="仿宋_GB2312" w:hAnsi="仿宋_GB2312" w:cs="仿宋_GB2312" w:eastAsia="仿宋_GB2312"/>
        </w:rPr>
        <w:t>6、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开标现场查询结果为准）：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开标现场查询结果为准）；</w:t>
      </w:r>
    </w:p>
    <w:p>
      <w:pPr>
        <w:pStyle w:val="null3"/>
      </w:pPr>
      <w:r>
        <w:rPr>
          <w:rFonts w:ascii="仿宋_GB2312" w:hAnsi="仿宋_GB2312" w:cs="仿宋_GB2312" w:eastAsia="仿宋_GB2312"/>
        </w:rPr>
        <w:t>7、提供近三年内在经营活动中无重大违法记录的书面声明：提供近三年内在经营活动中无重大违法记录的书面声明；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8、提供磋商保证金银行转账凭证及基本账户信息复印件或金融机构、担保机构出具的保函复印件，复印件均须加盖公章：提供磋商保证金银行转账凭证及基本账户信息复印件或金融机构、担保机构出具的保函复印件，复印件均须加盖公章；</w:t>
      </w:r>
    </w:p>
    <w:p>
      <w:pPr>
        <w:pStyle w:val="null3"/>
      </w:pPr>
      <w:r>
        <w:rPr>
          <w:rFonts w:ascii="仿宋_GB2312" w:hAnsi="仿宋_GB2312" w:cs="仿宋_GB2312" w:eastAsia="仿宋_GB2312"/>
        </w:rPr>
        <w:t>9、提供单位负责人为同一人或者存在直接控股、管理关系的不同供应商，不得参加同一合同项下的政府采购活动的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10、提供具有履行本合同所必需的设备和专业技术能力的说明及承诺：提供具有履行本合同所必需的设备和专业技术能力的说明及承诺；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11、本项目专门面向中小企业采购，供应商须提供《中小企业声明函》：本项目专门面向中小企业采购，供应商须提供《中小企业声明函》。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富平县杜村东街8号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0913-8221722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陕西厷森项目管理有限公司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陕西省渭南市富平县城关街道办事处书店社区富兴路中段西侧商务楼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0913-8921111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开户名称：陕西厷森项目管理有限公司</w:t>
            </w:r>
          </w:p>
          <w:p>
            <w:pPr>
              <w:pStyle w:val="null3"/>
            </w:pPr>
            <w:r>
              <w:rPr>
                <w:rFonts w:ascii="仿宋_GB2312" w:hAnsi="仿宋_GB2312" w:cs="仿宋_GB2312" w:eastAsia="仿宋_GB2312"/>
              </w:rPr>
              <w:t>开户银行：中国农业银行股份有限公司富平县支行</w:t>
            </w:r>
          </w:p>
          <w:p>
            <w:pPr>
              <w:pStyle w:val="null3"/>
            </w:pPr>
            <w:r>
              <w:rPr>
                <w:rFonts w:ascii="仿宋_GB2312" w:hAnsi="仿宋_GB2312" w:cs="仿宋_GB2312" w:eastAsia="仿宋_GB2312"/>
              </w:rPr>
              <w:t>银行账号：26555101040024098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计算，按《国家发展改革委办公厅关于招标代理服务收费有关问题的通知》（发改办价格〔2003〕857号）规定向成交供应商收取代理服务费。若本次招标失败（非代理机构原因），代理服务费由采购人支付。具体招标代理服务费以代理公司开具的税票金额为准，在领取成交通知书时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富平县医院</w:t>
      </w:r>
      <w:r>
        <w:rPr>
          <w:rFonts w:ascii="仿宋_GB2312" w:hAnsi="仿宋_GB2312" w:cs="仿宋_GB2312" w:eastAsia="仿宋_GB2312"/>
        </w:rPr>
        <w:t>和</w:t>
      </w:r>
      <w:r>
        <w:rPr>
          <w:rFonts w:ascii="仿宋_GB2312" w:hAnsi="仿宋_GB2312" w:cs="仿宋_GB2312" w:eastAsia="仿宋_GB2312"/>
        </w:rPr>
        <w:t>陕西厷森项目管理有限公司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陕西厷森项目管理有限公司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陕西厷森项目管理有限公司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在签订合同时另行约定。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联系电话：0913-8921111</w:t>
      </w:r>
    </w:p>
    <w:p>
      <w:pPr>
        <w:pStyle w:val="null3"/>
      </w:pPr>
      <w:r>
        <w:rPr>
          <w:rFonts w:ascii="仿宋_GB2312" w:hAnsi="仿宋_GB2312" w:cs="仿宋_GB2312" w:eastAsia="仿宋_GB2312"/>
        </w:rPr>
        <w:t>地址：陕西省渭南市富平县城关街道办事处书店社区富兴路中段西侧商务楼</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球管大、小焦点维修。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大型血管数字减影机球管维修项目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标的名称：大型血管数字减影机球管维修项目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32"/>
                <w:b/>
              </w:rPr>
              <w:t>服务</w:t>
            </w:r>
            <w:r>
              <w:rPr>
                <w:rFonts w:ascii="仿宋_GB2312" w:hAnsi="仿宋_GB2312" w:cs="仿宋_GB2312" w:eastAsia="仿宋_GB2312"/>
                <w:sz w:val="32"/>
                <w:b/>
              </w:rPr>
              <w:t>内容及要求</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服务内容</w:t>
            </w:r>
          </w:p>
          <w:tbl>
            <w:tblPr>
              <w:tblInd w:type="dxa" w:w="105"/>
              <w:tblBorders>
                <w:top w:val="none" w:color="000000" w:sz="4"/>
                <w:left w:val="none" w:color="000000" w:sz="4"/>
                <w:bottom w:val="none" w:color="000000" w:sz="4"/>
                <w:right w:val="none" w:color="000000" w:sz="4"/>
                <w:insideH w:val="none"/>
                <w:insideV w:val="none"/>
              </w:tblBorders>
            </w:tblPr>
            <w:tblGrid>
              <w:gridCol w:w="321"/>
              <w:gridCol w:w="1058"/>
              <w:gridCol w:w="1165"/>
            </w:tblGrid>
            <w:tr>
              <w:tc>
                <w:tcPr>
                  <w:tcW w:type="dxa" w:w="3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序号</w:t>
                  </w:r>
                </w:p>
              </w:tc>
              <w:tc>
                <w:tcPr>
                  <w:tcW w:type="dxa" w:w="105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标的</w:t>
                  </w:r>
                  <w:r>
                    <w:rPr>
                      <w:rFonts w:ascii="仿宋_GB2312" w:hAnsi="仿宋_GB2312" w:cs="仿宋_GB2312" w:eastAsia="仿宋_GB2312"/>
                      <w:sz w:val="24"/>
                    </w:rPr>
                    <w:t>名称</w:t>
                  </w:r>
                </w:p>
              </w:tc>
              <w:tc>
                <w:tcPr>
                  <w:tcW w:type="dxa" w:w="11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主要技术需求</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0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大型血管数字减影机球管维修项目</w:t>
                  </w:r>
                </w:p>
              </w:tc>
              <w:tc>
                <w:tcPr>
                  <w:tcW w:type="dxa" w:w="11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对</w:t>
                  </w:r>
                  <w:r>
                    <w:rPr>
                      <w:rFonts w:ascii="仿宋_GB2312" w:hAnsi="仿宋_GB2312" w:cs="仿宋_GB2312" w:eastAsia="仿宋_GB2312"/>
                      <w:sz w:val="24"/>
                    </w:rPr>
                    <w:t>飞利浦血管造影</w:t>
                  </w:r>
                  <w:r>
                    <w:rPr>
                      <w:rFonts w:ascii="仿宋_GB2312" w:hAnsi="仿宋_GB2312" w:cs="仿宋_GB2312" w:eastAsia="仿宋_GB2312"/>
                      <w:sz w:val="24"/>
                    </w:rPr>
                    <w:t>FD20</w:t>
                  </w:r>
                  <w:r>
                    <w:rPr>
                      <w:rFonts w:ascii="仿宋_GB2312" w:hAnsi="仿宋_GB2312" w:cs="仿宋_GB2312" w:eastAsia="仿宋_GB2312"/>
                      <w:sz w:val="24"/>
                    </w:rPr>
                    <w:t>进行维修，维修后达到使用标准。</w:t>
                  </w:r>
                </w:p>
              </w:tc>
            </w:tr>
          </w:tbl>
          <w:p>
            <w:pPr>
              <w:pStyle w:val="null3"/>
              <w:jc w:val="both"/>
            </w:pPr>
            <w:r>
              <w:rPr>
                <w:rFonts w:ascii="仿宋_GB2312" w:hAnsi="仿宋_GB2312" w:cs="仿宋_GB2312" w:eastAsia="仿宋_GB2312"/>
                <w:sz w:val="24"/>
                <w:b/>
              </w:rPr>
              <w:t>二、服务要求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维修项目内容：</w:t>
            </w:r>
            <w:r>
              <w:rPr>
                <w:rFonts w:ascii="仿宋_GB2312" w:hAnsi="仿宋_GB2312" w:cs="仿宋_GB2312" w:eastAsia="仿宋_GB2312"/>
                <w:sz w:val="24"/>
              </w:rPr>
              <w:t>配件维修</w:t>
            </w:r>
          </w:p>
          <w:p>
            <w:pPr>
              <w:pStyle w:val="null3"/>
              <w:ind w:firstLine="480"/>
              <w:jc w:val="both"/>
            </w:pPr>
            <w:r>
              <w:rPr>
                <w:rFonts w:ascii="仿宋_GB2312" w:hAnsi="仿宋_GB2312" w:cs="仿宋_GB2312" w:eastAsia="仿宋_GB2312"/>
                <w:sz w:val="24"/>
              </w:rPr>
              <w:t>飞利浦</w:t>
            </w:r>
            <w:r>
              <w:rPr>
                <w:rFonts w:ascii="仿宋_GB2312" w:hAnsi="仿宋_GB2312" w:cs="仿宋_GB2312" w:eastAsia="仿宋_GB2312"/>
                <w:sz w:val="24"/>
              </w:rPr>
              <w:t>血管机</w:t>
            </w:r>
            <w:r>
              <w:rPr>
                <w:rFonts w:ascii="仿宋_GB2312" w:hAnsi="仿宋_GB2312" w:cs="仿宋_GB2312" w:eastAsia="仿宋_GB2312"/>
                <w:sz w:val="24"/>
              </w:rPr>
              <w:t>FD20</w:t>
            </w:r>
            <w:r>
              <w:rPr>
                <w:rFonts w:ascii="仿宋_GB2312" w:hAnsi="仿宋_GB2312" w:cs="仿宋_GB2312" w:eastAsia="仿宋_GB2312"/>
                <w:sz w:val="24"/>
              </w:rPr>
              <w:t>球管维修，维修完毕后达到正常使用标准，球管维修后保修</w:t>
            </w:r>
            <w:r>
              <w:rPr>
                <w:rFonts w:ascii="仿宋_GB2312" w:hAnsi="仿宋_GB2312" w:cs="仿宋_GB2312" w:eastAsia="仿宋_GB2312"/>
                <w:sz w:val="24"/>
              </w:rPr>
              <w:t>12个月。</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保修期内</w:t>
            </w:r>
            <w:r>
              <w:rPr>
                <w:rFonts w:ascii="仿宋_GB2312" w:hAnsi="仿宋_GB2312" w:cs="仿宋_GB2312" w:eastAsia="仿宋_GB2312"/>
                <w:sz w:val="24"/>
              </w:rPr>
              <w:t>，</w:t>
            </w:r>
            <w:r>
              <w:rPr>
                <w:rFonts w:ascii="仿宋_GB2312" w:hAnsi="仿宋_GB2312" w:cs="仿宋_GB2312" w:eastAsia="仿宋_GB2312"/>
                <w:sz w:val="24"/>
              </w:rPr>
              <w:t>如球管发生故障，</w:t>
            </w:r>
            <w:r>
              <w:rPr>
                <w:rFonts w:ascii="仿宋_GB2312" w:hAnsi="仿宋_GB2312" w:cs="仿宋_GB2312" w:eastAsia="仿宋_GB2312"/>
                <w:sz w:val="24"/>
              </w:rPr>
              <w:t>接到医院故障通知时随叫随到，全天候电话响应，工程师应在</w:t>
            </w:r>
            <w:r>
              <w:rPr>
                <w:rFonts w:ascii="仿宋_GB2312" w:hAnsi="仿宋_GB2312" w:cs="仿宋_GB2312" w:eastAsia="仿宋_GB2312"/>
                <w:sz w:val="24"/>
              </w:rPr>
              <w:t>8</w:t>
            </w:r>
            <w:r>
              <w:rPr>
                <w:rFonts w:ascii="仿宋_GB2312" w:hAnsi="仿宋_GB2312" w:cs="仿宋_GB2312" w:eastAsia="仿宋_GB2312"/>
                <w:sz w:val="24"/>
              </w:rPr>
              <w:t>小时内到达现场（包括节假日）。</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保修期内</w:t>
            </w:r>
            <w:r>
              <w:rPr>
                <w:rFonts w:ascii="仿宋_GB2312" w:hAnsi="仿宋_GB2312" w:cs="仿宋_GB2312" w:eastAsia="仿宋_GB2312"/>
                <w:sz w:val="24"/>
              </w:rPr>
              <w:t>，计划性定期的维修服务检测包括设备清洁、性能测试及校准、必要的机械或电气的检查，以及非紧急性质的补救性维修，并定期对设备的数据进行备份，确保系统能按照制造商的产品规格运行的标准来维修。</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定期维护服务间隔进行，具体内容包括：</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系统基本情况检查</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图像质量检查</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球管使用情况检查</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重建系统检查</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通讯检查</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软件等。</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保修</w:t>
            </w:r>
            <w:r>
              <w:rPr>
                <w:rFonts w:ascii="仿宋_GB2312" w:hAnsi="仿宋_GB2312" w:cs="仿宋_GB2312" w:eastAsia="仿宋_GB2312"/>
                <w:sz w:val="24"/>
              </w:rPr>
              <w:t>期内，在维修配件时引发医院设备其他新故障时，由供应商</w:t>
            </w:r>
            <w:r>
              <w:rPr>
                <w:rFonts w:ascii="仿宋_GB2312" w:hAnsi="仿宋_GB2312" w:cs="仿宋_GB2312" w:eastAsia="仿宋_GB2312"/>
                <w:sz w:val="24"/>
              </w:rPr>
              <w:t>自行解决故障及配件，全部费用由</w:t>
            </w:r>
            <w:r>
              <w:rPr>
                <w:rFonts w:ascii="仿宋_GB2312" w:hAnsi="仿宋_GB2312" w:cs="仿宋_GB2312" w:eastAsia="仿宋_GB2312"/>
                <w:sz w:val="24"/>
              </w:rPr>
              <w:t>供应商</w:t>
            </w:r>
            <w:r>
              <w:rPr>
                <w:rFonts w:ascii="仿宋_GB2312" w:hAnsi="仿宋_GB2312" w:cs="仿宋_GB2312" w:eastAsia="仿宋_GB2312"/>
                <w:sz w:val="24"/>
              </w:rPr>
              <w:t>支付。</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保修期内保证球管正常使用</w:t>
            </w:r>
            <w:r>
              <w:rPr>
                <w:rFonts w:ascii="仿宋_GB2312" w:hAnsi="仿宋_GB2312" w:cs="仿宋_GB2312" w:eastAsia="仿宋_GB2312"/>
                <w:sz w:val="24"/>
              </w:rPr>
              <w:t>率</w:t>
            </w:r>
            <w:r>
              <w:rPr>
                <w:rFonts w:ascii="仿宋_GB2312" w:hAnsi="仿宋_GB2312" w:cs="仿宋_GB2312" w:eastAsia="仿宋_GB2312"/>
                <w:sz w:val="24"/>
              </w:rPr>
              <w:t>≥95%，按一年365天计算，即全年累计停机时间≤18天。若超出上述承诺停机天数，每超出一天向</w:t>
            </w:r>
            <w:r>
              <w:rPr>
                <w:rFonts w:ascii="仿宋_GB2312" w:hAnsi="仿宋_GB2312" w:cs="仿宋_GB2312" w:eastAsia="仿宋_GB2312"/>
                <w:sz w:val="24"/>
              </w:rPr>
              <w:t>需</w:t>
            </w:r>
            <w:r>
              <w:rPr>
                <w:rFonts w:ascii="仿宋_GB2312" w:hAnsi="仿宋_GB2312" w:cs="仿宋_GB2312" w:eastAsia="仿宋_GB2312"/>
                <w:sz w:val="24"/>
              </w:rPr>
              <w:t>方支付当年保修款的</w:t>
            </w:r>
            <w:r>
              <w:rPr>
                <w:rFonts w:ascii="仿宋_GB2312" w:hAnsi="仿宋_GB2312" w:cs="仿宋_GB2312" w:eastAsia="仿宋_GB2312"/>
                <w:sz w:val="24"/>
              </w:rPr>
              <w:t>0.5%，累计超出15天院方有权更换供应商。</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该设备目前故障需要更换的备件、人工费及合同签订前所发生的所有维修费用均包含在本次维修服务中。</w:t>
            </w:r>
          </w:p>
          <w:p>
            <w:pPr>
              <w:pStyle w:val="null3"/>
              <w:ind w:firstLine="480"/>
              <w:jc w:val="both"/>
            </w:pPr>
            <w:r>
              <w:rPr>
                <w:rFonts w:ascii="仿宋_GB2312" w:hAnsi="仿宋_GB2312" w:cs="仿宋_GB2312" w:eastAsia="仿宋_GB2312"/>
                <w:sz w:val="24"/>
              </w:rPr>
              <w:t>三、商务要求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服务期限：合同签订后</w:t>
            </w:r>
            <w:r>
              <w:rPr>
                <w:rFonts w:ascii="仿宋_GB2312" w:hAnsi="仿宋_GB2312" w:cs="仿宋_GB2312" w:eastAsia="仿宋_GB2312"/>
                <w:sz w:val="24"/>
              </w:rPr>
              <w:t>7日内完成。</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付款方式：维修验收后支付</w:t>
            </w:r>
            <w:r>
              <w:rPr>
                <w:rFonts w:ascii="仿宋_GB2312" w:hAnsi="仿宋_GB2312" w:cs="仿宋_GB2312" w:eastAsia="仿宋_GB2312"/>
                <w:sz w:val="24"/>
              </w:rPr>
              <w:t>100%。</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服务地点：富平县医院。</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服务标准：符合国家及行业相关标准。</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验收标准：</w:t>
            </w:r>
            <w:r>
              <w:rPr>
                <w:rFonts w:ascii="仿宋_GB2312" w:hAnsi="仿宋_GB2312" w:cs="仿宋_GB2312" w:eastAsia="仿宋_GB2312"/>
                <w:sz w:val="24"/>
              </w:rPr>
              <w:t>符合国家及行业相关标准</w:t>
            </w:r>
            <w:r>
              <w:rPr>
                <w:rFonts w:ascii="仿宋_GB2312" w:hAnsi="仿宋_GB2312" w:cs="仿宋_GB2312" w:eastAsia="仿宋_GB2312"/>
                <w:sz w:val="24"/>
              </w:rPr>
              <w:t>，</w:t>
            </w:r>
            <w:r>
              <w:rPr>
                <w:rFonts w:ascii="仿宋_GB2312" w:hAnsi="仿宋_GB2312" w:cs="仿宋_GB2312" w:eastAsia="仿宋_GB2312"/>
                <w:sz w:val="24"/>
              </w:rPr>
              <w:t>满足采购人要求。</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本项目供应商用工所产生的一切费用均由供应商自行承担。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合同签订后7日内完成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富平县医院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在签订合同时另行约定。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维修验收后支付100%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在签订合同时另行约定。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1、投标时供应商无需提供纸质版响应文件。成交供应商在领取成交通知书前将纸质版响应文件正本1份、副本2份、电子版（U 盘）文件3份，打印盖章后提交至采购代理机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关于促进政府采购公平竞争优化营商环境的通知》（财库〔2019〕38号）；（7）《财政部 农业农村部 国家乡村振兴局关于运用政府采购政策支持乡村产业振兴的通知》（财库〔2021〕19号）；（8）陕西省财政厅《关于进一步加强政府绿色采购有关问题的通知》（陕财办采〔2021〕29号）； （9）陕西省财政厅关于印发《陕西省中小企业政府采购信用融资办法》（陕财办采〔2018〕23号）；（10）《陕西省财政厅关于加快推进我省中小企业政府采购信用融资工作的通知》（陕财办采〔2020〕15号）； （11）《政府采购促进中小企业发展管理办法》（财库〔2020〕46号）； （12）《关于进一步加大政府采购支持中小企业力度的通知》（财库〔2022〕19号）； （13）《陕西省财政厅关于进一步落实政府采购支持中小企业相关政策的通知》（陕财办采〔2023〕3号）； （14）《陕西省财政厅关于进一步优化政府采购营商环境有关事项的通知》（陕财办采〔2023〕4号）。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供应商特定资格要求.docx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提供2024年度经审计的财务报告（成立时间至递交磋商响应文件文件截止时间不足一年的可提供成立后任意时段的财务报表）。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提供法定代表人授权委托书（附法定代表人、被授权人身份证复印件）；法定代表人参加投标只须提供法定代表人身份证明（附法定代表人身份证复印件）</w:t>
            </w:r>
          </w:p>
        </w:tc>
        <w:tc>
          <w:tcPr>
            <w:tcW w:type="dxa" w:w="3322"/>
          </w:tcPr>
          <w:p>
            <w:pPr>
              <w:pStyle w:val="null3"/>
            </w:pPr>
            <w:r>
              <w:rPr>
                <w:rFonts w:ascii="仿宋_GB2312" w:hAnsi="仿宋_GB2312" w:cs="仿宋_GB2312" w:eastAsia="仿宋_GB2312"/>
              </w:rPr>
              <w:t>提供法定代表人授权委托书（附法定代表人、被授权人身份证复印件）；法定代表人参加投标只须提供法定代表人身份证明（附法定代表人身份证复印件）；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提供2024年度经审计的财务报告（成立时间至递交磋商响应文件截止时间不足一年的可提供成立后任意时段的财务报表）</w:t>
            </w:r>
          </w:p>
        </w:tc>
        <w:tc>
          <w:tcPr>
            <w:tcW w:type="dxa" w:w="3322"/>
          </w:tcPr>
          <w:p>
            <w:pPr>
              <w:pStyle w:val="null3"/>
            </w:pPr>
            <w:r>
              <w:rPr>
                <w:rFonts w:ascii="仿宋_GB2312" w:hAnsi="仿宋_GB2312" w:cs="仿宋_GB2312" w:eastAsia="仿宋_GB2312"/>
              </w:rPr>
              <w:t>提供2024年度经审计的财务报告（成立时间至递交磋商响应文件截止时间不足一年的可提供成立后任意时段的财务报表）；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332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332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开标现场查询结果为准）</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开标现场查询结果为准）；</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提供磋商保证金银行转账凭证及基本账户信息复印件或金融机构、担保机构出具的保函复印件，复印件均须加盖公章</w:t>
            </w:r>
          </w:p>
        </w:tc>
        <w:tc>
          <w:tcPr>
            <w:tcW w:type="dxa" w:w="3322"/>
          </w:tcPr>
          <w:p>
            <w:pPr>
              <w:pStyle w:val="null3"/>
            </w:pPr>
            <w:r>
              <w:rPr>
                <w:rFonts w:ascii="仿宋_GB2312" w:hAnsi="仿宋_GB2312" w:cs="仿宋_GB2312" w:eastAsia="仿宋_GB2312"/>
              </w:rPr>
              <w:t>提供磋商保证金银行转账凭证及基本账户信息复印件或金融机构、担保机构出具的保函复印件，复印件均须加盖公章；</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本项目专门面向中小企业采购，供应商须提供《中小企业声明函》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服务内容及商务响应偏离表.docx 业绩.docx 中小企业声明函 供应商应提交的相关资格证明材料 承诺书.docx 报价表 技术部分.docx 其他相关资料.docx 响应文件封面 残疾人福利性单位声明函 标的清单 供应商特定资格要求.docx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内容无重大缺漏项，报价唯一，且不能高于最高限价。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响应文件的签署、加盖印章是否合格、有效。</w:t>
            </w:r>
          </w:p>
        </w:tc>
        <w:tc>
          <w:tcPr>
            <w:tcW w:type="dxa" w:w="1661"/>
          </w:tcPr>
          <w:p>
            <w:pPr>
              <w:pStyle w:val="null3"/>
            </w:pPr>
            <w:r>
              <w:rPr>
                <w:rFonts w:ascii="仿宋_GB2312" w:hAnsi="仿宋_GB2312" w:cs="仿宋_GB2312" w:eastAsia="仿宋_GB2312"/>
              </w:rPr>
              <w:t>服务内容及商务响应偏离表.docx 业绩.docx 中小企业声明函 供应商应提交的相关资格证明材料 承诺书.docx 报价表 技术部分.docx 其他相关资料.docx 响应文件封面 残疾人福利性单位声明函 标的清单 供应商特定资格要求.docx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服务内容及商务响应偏离表.docx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服务内容及商务响应偏离表.docx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服务内容及商务响应偏离表.docx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服务内容及商务响应偏离表.docx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服务内容及标准</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服务内容及商务响应偏离表.docx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法律、法规和磋商文件规定的其他无效情形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服务内容及商务响应偏离表.docx 业绩.docx 中小企业声明函 供应商应提交的相关资格证明材料 承诺书.docx 报价表 技术部分.docx 其他相关资料.docx 响应文件封面 残疾人福利性单位声明函 标的清单 供应商特定资格要求.docx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提供针对本项目的服务方案，包括但不限于；1.对项目的理解及重难点分析；2.项目进度计划；3.维修、更换方案；4.设备检测方案；5.配件配备情况；6.售后服务及培训方案。二、评审标准 1.完整性：方案必须全面，对评审内容中的各项要求有详细描述；2.可实施性：切合本项目实际情况，提出步骤清晰、合理的方案；3.针对性：方案能够紧扣项目实际情况，内容科学合理。 三、赋分标准（满分36分）1.对项目的理解及重难点分析：每完全满足一个评审标准得2分，满分6分；2.项目进度计划：每完全满足一个评审标准得2分，满分 6 分；3.维修、更换方案：每完全满足一个评审标准得2分，满分6分；4.设备检测方案：每完全满足一个评审标准得2分，满分6分；5.配件配备情况：每完全满足一个评审标准得2分，满分6分。6.售后服务及培训方案：每完全满足一个评审标准得2分，满分6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 提供针对本项目的服务质量保证措施，包括但不限于：1.人员专业性的保证 措施；2.服务质量保证措施；3.服务质量的监督措施。 二、评审标准 1.完整性：方案必 须全面，对评审内容中的各项要求有详细描述； 2.可实施性：切合本项目实际情况，提出 步骤清晰、合理的方案； 3.针对性：方案能够紧扣项目实际情况，内容科学合理。 三、 赋分标准（满分18分） 1.人员专业性的保证措施：每完全满足一个评审标准得 2 分，满 分6分； 2.服务质量保证措施：每完全满足一个评审标准得 2 分，满分6分； 3.服务质量 的监督措施：每完全满足一个评审标准得 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提供针对本项目管理制度，包括但不限于：1.员工聘用管理制度；2.服务质量检查制度；3.设施设备安全使用管理制度；4.内控制度及信息反馈制度。 二、评审标准 1.完整性：方案必须全面，对评审内容中的各项要求有详细描述； 2.可实施性：切合本项目实际情况，制度规范、可行性强。 3.针对性：方案能够紧扣项目实际情况，内容科学合理。 三、赋分标准（满分12分） 1.员工聘用管理制度：每完全满足一个评审标准得1分，满分3分； 2.服务质量检查制度：每完全满足一个评审标准得1分，满分3分； 3.设施设备安全使用管理制度：每完全满足一个评审标准得1分，满分3分； 4.内控制度及信息反馈制度：每完全满足一个评审标准得1分，满分3分。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 提供针对本项目的应急措施，包括但不限于：1.应急处理措施；2.应急响应时间。 二、评审标准 1.完整性：方案必须全面，对评审内容中的各项要求有详细描述； 2.可实施性：切合本项目实际情况，提出步骤清晰、合理的方案； 3.针对性：方案能够紧扣项目实际情况，内容科学合理。 三、赋分标准（满分6分） 1.应急处理措施：每完全满足一个评审标准得 1 分，满分3分； 2.应急响应时间：每完全满足一个评审标准得1分，满分3分。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提供针对本项目的服务承诺，包括但不限于：1.服务体系健全；2.承诺所有上岗人员在上岗前经过专业培训；3.定期回访制度。 二、评审标准 1.完整性：方案必须全面，对评审内容中的各项要求有详细描述； 2.可实施性：切合本项目实际情况，提出步骤清晰、合理的方案； 3.针对性：方案能够紧扣项目实际情况，内容科学合理。 三、赋分标准（满分9分） 1.服务体系健全：每完全满足一个评审标准得1分，满分3分； 2.承诺所有上岗人员在上岗前经过专业培训：每完全满足一个评审标准得1分，满分3分； 3.定期回访制度：每完全满足一个评审标准得1分，满分3分。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2022年6月1日至今类似项目的合同或中标(成交)通知书(以所提供资料的落款时间为准)，每提供一份业绩计 3分，最高9分。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1.经资格审查及符合性评审合格的磋商响应文件，其磋商报价有效； 2.满足磋商文件要求且最后提交价格最低的磋商报价为磋商基准价； 3.磋商报价得分=(磋商基准价／最后磋商报价)×10%×100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详见附件：供应商特定资格要求.docx</w:t>
      </w:r>
    </w:p>
    <w:p>
      <w:pPr>
        <w:pStyle w:val="null3"/>
        <w:ind w:firstLine="960"/>
      </w:pPr>
      <w:r>
        <w:rPr>
          <w:rFonts w:ascii="仿宋_GB2312" w:hAnsi="仿宋_GB2312" w:cs="仿宋_GB2312" w:eastAsia="仿宋_GB2312"/>
        </w:rPr>
        <w:t>详见附件：服务内容及商务响应偏离表.docx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