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版本号：2025JMR-（FW）080320250812001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2025-2026年度卫生保洁服务采购项目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2025JMR-（FW）0803</w:t>
      </w:r>
      <w:r>
        <w:br/>
      </w:r>
      <w:r>
        <w:br/>
      </w:r>
      <w:r>
        <w:br/>
      </w:r>
    </w:p>
    <w:p>
      <w:pPr>
        <w:pStyle w:val="null3"/>
        <w:jc w:val="center"/>
        <w:outlineLvl w:val="2"/>
      </w:pPr>
      <w:r>
        <w:rPr>
          <w:rFonts w:ascii="仿宋_GB2312" w:hAnsi="仿宋_GB2312" w:cs="仿宋_GB2312" w:eastAsia="仿宋_GB2312"/>
          <w:sz w:val="28"/>
          <w:b/>
        </w:rPr>
        <w:t>富平县职业教育中心</w:t>
      </w:r>
    </w:p>
    <w:p>
      <w:pPr>
        <w:pStyle w:val="null3"/>
        <w:jc w:val="center"/>
        <w:outlineLvl w:val="2"/>
      </w:pPr>
      <w:r>
        <w:rPr>
          <w:rFonts w:ascii="仿宋_GB2312" w:hAnsi="仿宋_GB2312" w:cs="仿宋_GB2312" w:eastAsia="仿宋_GB2312"/>
          <w:sz w:val="28"/>
          <w:b/>
        </w:rPr>
        <w:t>陕西晶鸣瑞项目管理有限公司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陕西晶鸣瑞项目管理有限公司</w:t>
      </w:r>
      <w:r>
        <w:rPr>
          <w:rFonts w:ascii="仿宋_GB2312" w:hAnsi="仿宋_GB2312" w:cs="仿宋_GB2312" w:eastAsia="仿宋_GB2312"/>
        </w:rPr>
        <w:t>（以下简称“代理机构”）受</w:t>
      </w:r>
      <w:r>
        <w:rPr>
          <w:rFonts w:ascii="仿宋_GB2312" w:hAnsi="仿宋_GB2312" w:cs="仿宋_GB2312" w:eastAsia="仿宋_GB2312"/>
        </w:rPr>
        <w:t>富平县职业教育中心</w:t>
      </w:r>
      <w:r>
        <w:rPr>
          <w:rFonts w:ascii="仿宋_GB2312" w:hAnsi="仿宋_GB2312" w:cs="仿宋_GB2312" w:eastAsia="仿宋_GB2312"/>
        </w:rPr>
        <w:t>委托，拟对</w:t>
      </w:r>
      <w:r>
        <w:rPr>
          <w:rFonts w:ascii="仿宋_GB2312" w:hAnsi="仿宋_GB2312" w:cs="仿宋_GB2312" w:eastAsia="仿宋_GB2312"/>
        </w:rPr>
        <w:t>2025-2026年度卫生保洁服务采购项目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2025JMR-（FW）0803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2025-2026年度卫生保洁服务采购项目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富平县职业教育中心目前需保洁面积约数4万平方米，包括力行楼、致远楼、筑梦楼、日新楼所有公共区域（包括走道、通道、厕所、办公区域地面、墙面及设施），楼体外围校园内环境卫生保持以及学校水电暖及部分设施检查、维护维修，完成临时安排的杂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采购包1（富平县职业教育中心2025-2026年度卫生保洁服务采购项目）：属于专门面向中小企业采购。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良好的商业信誉和健全的财务会计制度：供应商应2024年度经审计的财务报告或在磋商截止时间前六个月（2025年2月至今）其基本开户银行出具的资信证明（须随附开户许可证）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供应商提供磋商截止时间前六个月（2025年2月至今）内任意时段的缴纳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书面声明：①参加本次政府采购活动前三年内，在经营活动中没有重大违法记录的书面声明；②提供具有履行本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5、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6、供应商企业关系关联及联合体说明：本项目不接受联合体磋商，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7、备注：①以上为供应商必备资格要求，资格证明文件无效或缺项投标文件按无效文件处理。②分支机构参与投标时，须提供分支机构符合资格要求的证明文件。③书面声明、法定代表人身份证明和法定代表人授权委托书应按竞争性磋商文件的要求填写，响应文件中必须附原件，其他资格证明文件提供复印件并加盖供应商公章。④依法免税或不需要缴纳社会保障资金的供应商须提供相应证明文件；事业单位法人可不提供财务状况报告、税收和社会保障资金缴纳证明；成立不满一年或开标前一年内零申报的税收缴纳证明则只需提供财务报表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富平县职业教育中心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 G5 京昆高速入口路口</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0913-8236205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陕西晶鸣瑞项目管理有限公司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西安市莲湖区唐延路北段20号太和时代广场C座507室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029-88618769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开户名称：陕西晶鸣瑞项目管理有限公司</w:t>
            </w:r>
          </w:p>
          <w:p>
            <w:pPr>
              <w:pStyle w:val="null3"/>
            </w:pPr>
            <w:r>
              <w:rPr>
                <w:rFonts w:ascii="仿宋_GB2312" w:hAnsi="仿宋_GB2312" w:cs="仿宋_GB2312" w:eastAsia="仿宋_GB2312"/>
              </w:rPr>
              <w:t>开户银行：华夏银行大唐西市支行</w:t>
            </w:r>
          </w:p>
          <w:p>
            <w:pPr>
              <w:pStyle w:val="null3"/>
            </w:pPr>
            <w:r>
              <w:rPr>
                <w:rFonts w:ascii="仿宋_GB2312" w:hAnsi="仿宋_GB2312" w:cs="仿宋_GB2312" w:eastAsia="仿宋_GB2312"/>
              </w:rPr>
              <w:t>银行账号：11468000000227626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关于进一步放开建设项目专业服务价格的通知》（发改价格【2015】299号），参照《招标代理服务收费管理暂行办法的通知》(计价格〔2002〕1980号)、《关于招标代理服务收费有关问题的通知》（发改办价格〔2003〕857号）以及《关于降低部分建设项目收费标准规范收费行为等有关问题的通知》(发改价格〔2011〕534号)的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富平县职业教育中心</w:t>
      </w:r>
      <w:r>
        <w:rPr>
          <w:rFonts w:ascii="仿宋_GB2312" w:hAnsi="仿宋_GB2312" w:cs="仿宋_GB2312" w:eastAsia="仿宋_GB2312"/>
        </w:rPr>
        <w:t>和</w:t>
      </w:r>
      <w:r>
        <w:rPr>
          <w:rFonts w:ascii="仿宋_GB2312" w:hAnsi="仿宋_GB2312" w:cs="仿宋_GB2312" w:eastAsia="仿宋_GB2312"/>
        </w:rPr>
        <w:t>陕西晶鸣瑞项目管理有限公司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富平县职业教育中心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陕西晶鸣瑞项目管理有限公司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富平县职业教育中心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陕西晶鸣瑞项目管理有限公司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陕西晶鸣瑞项目管理有限公司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陕西晶鸣瑞项目管理有限公司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陕西晶鸣瑞项目管理有限公司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联系人：宋琦</w:t>
      </w:r>
    </w:p>
    <w:p>
      <w:pPr>
        <w:pStyle w:val="null3"/>
      </w:pPr>
      <w:r>
        <w:rPr>
          <w:rFonts w:ascii="仿宋_GB2312" w:hAnsi="仿宋_GB2312" w:cs="仿宋_GB2312" w:eastAsia="仿宋_GB2312"/>
        </w:rPr>
        <w:t>联系电话：029-88618769</w:t>
      </w:r>
    </w:p>
    <w:p>
      <w:pPr>
        <w:pStyle w:val="null3"/>
      </w:pPr>
      <w:r>
        <w:rPr>
          <w:rFonts w:ascii="仿宋_GB2312" w:hAnsi="仿宋_GB2312" w:cs="仿宋_GB2312" w:eastAsia="仿宋_GB2312"/>
        </w:rPr>
        <w:t>地址：西安市莲湖区唐延路北段20号太和时代广场C座507室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富平县职业教育中心目前需保洁面积约数4万平方米，包括力行楼、致远楼、筑梦楼、日新楼所有公共区域（包括走道、通道、厕所、办公区域地面、墙面及设施），楼体外围校园内环境卫生保持以及学校水电暖及部分设施检查、维护维修，完成临时安排的杂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卫生保洁服务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标的名称：卫生保洁服务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outlineLvl w:val="0"/>
            </w:pPr>
            <w:r>
              <w:rPr>
                <w:rFonts w:ascii="仿宋_GB2312" w:hAnsi="仿宋_GB2312" w:cs="仿宋_GB2312" w:eastAsia="仿宋_GB2312"/>
                <w:sz w:val="36"/>
                <w:b/>
                <w:color w:val="000000"/>
              </w:rPr>
              <w:t>采购内容及技术要求</w:t>
            </w:r>
          </w:p>
          <w:p>
            <w:pPr>
              <w:pStyle w:val="null3"/>
              <w:ind w:firstLine="602"/>
              <w:jc w:val="both"/>
            </w:pPr>
            <w:r>
              <w:rPr>
                <w:rFonts w:ascii="仿宋_GB2312" w:hAnsi="仿宋_GB2312" w:cs="仿宋_GB2312" w:eastAsia="仿宋_GB2312"/>
                <w:sz w:val="24"/>
                <w:b/>
                <w:color w:val="000000"/>
              </w:rPr>
              <w:t>一、服务范围</w:t>
            </w:r>
          </w:p>
          <w:p>
            <w:pPr>
              <w:pStyle w:val="null3"/>
              <w:ind w:firstLine="600"/>
              <w:jc w:val="both"/>
            </w:pPr>
            <w:r>
              <w:rPr>
                <w:rFonts w:ascii="仿宋_GB2312" w:hAnsi="仿宋_GB2312" w:cs="仿宋_GB2312" w:eastAsia="仿宋_GB2312"/>
                <w:sz w:val="24"/>
                <w:color w:val="000000"/>
              </w:rPr>
              <w:t>富平县职业教育中心目前需保洁面积约数</w:t>
            </w:r>
            <w:r>
              <w:rPr>
                <w:rFonts w:ascii="仿宋_GB2312" w:hAnsi="仿宋_GB2312" w:cs="仿宋_GB2312" w:eastAsia="仿宋_GB2312"/>
                <w:sz w:val="24"/>
                <w:color w:val="000000"/>
              </w:rPr>
              <w:t xml:space="preserve">4万平方米，包括力行楼、致远楼、筑梦楼、日新楼所有公共区域（包括走道、通道、厕所、办公区域地面、墙面及设施），楼体外围校园内环境卫生保持以及学校水电暖及部分设施检查、维护维修，完成临时安排的杂活。       </w:t>
            </w:r>
          </w:p>
          <w:p>
            <w:pPr>
              <w:pStyle w:val="null3"/>
              <w:ind w:firstLine="482"/>
              <w:jc w:val="both"/>
            </w:pPr>
            <w:r>
              <w:rPr>
                <w:rFonts w:ascii="仿宋_GB2312" w:hAnsi="仿宋_GB2312" w:cs="仿宋_GB2312" w:eastAsia="仿宋_GB2312"/>
                <w:sz w:val="24"/>
                <w:b/>
                <w:color w:val="000000"/>
              </w:rPr>
              <w:t>二、服务内容、标准及要求</w:t>
            </w:r>
          </w:p>
          <w:p>
            <w:pPr>
              <w:pStyle w:val="null3"/>
              <w:ind w:firstLine="482"/>
              <w:jc w:val="both"/>
            </w:pPr>
            <w:r>
              <w:rPr>
                <w:rFonts w:ascii="仿宋_GB2312" w:hAnsi="仿宋_GB2312" w:cs="仿宋_GB2312" w:eastAsia="仿宋_GB2312"/>
                <w:sz w:val="24"/>
                <w:b/>
                <w:color w:val="000000"/>
              </w:rPr>
              <w:t>2.1保洁服务</w:t>
            </w:r>
          </w:p>
          <w:p>
            <w:pPr>
              <w:pStyle w:val="null3"/>
              <w:ind w:firstLine="482"/>
              <w:jc w:val="both"/>
            </w:pPr>
            <w:r>
              <w:rPr>
                <w:rFonts w:ascii="仿宋_GB2312" w:hAnsi="仿宋_GB2312" w:cs="仿宋_GB2312" w:eastAsia="仿宋_GB2312"/>
                <w:sz w:val="24"/>
                <w:b/>
                <w:color w:val="000000"/>
              </w:rPr>
              <w:t>2.1.1总体要求：</w:t>
            </w:r>
          </w:p>
          <w:p>
            <w:pPr>
              <w:pStyle w:val="null3"/>
              <w:ind w:firstLine="480"/>
              <w:jc w:val="both"/>
            </w:pPr>
            <w:r>
              <w:rPr>
                <w:rFonts w:ascii="仿宋_GB2312" w:hAnsi="仿宋_GB2312" w:cs="仿宋_GB2312" w:eastAsia="仿宋_GB2312"/>
                <w:sz w:val="24"/>
                <w:color w:val="000000"/>
              </w:rPr>
              <w:t>整体服务定位：整洁、舒适、环保，做到各个区域</w:t>
            </w:r>
            <w:r>
              <w:rPr>
                <w:rFonts w:ascii="仿宋_GB2312" w:hAnsi="仿宋_GB2312" w:cs="仿宋_GB2312" w:eastAsia="仿宋_GB2312"/>
                <w:sz w:val="24"/>
                <w:color w:val="000000"/>
              </w:rPr>
              <w:t>24小时动态保洁，以及学校水电暖及部分设施检查维护维修，临时安排的杂活。主要通过完成日常保洁、清洁、消毒、消杀、学校水电暖检查维护维修以及临时安排的杂活等基础工作，包括定时、定点、定人进行生活垃圾的分类收集、处理和清运，通过清、扫、擦、拭、抹等专业性操作，维护力行楼、致远楼、筑梦楼、日新楼所有公共区域（包括走道、通道、厕所、办公区域地面、墙面及设施）楼体外围校园内环境卫生，以及学校水电暖检查维护维修，临时安排的杂活。</w:t>
            </w:r>
          </w:p>
          <w:p>
            <w:pPr>
              <w:pStyle w:val="null3"/>
              <w:ind w:firstLine="482"/>
              <w:jc w:val="both"/>
            </w:pPr>
            <w:r>
              <w:rPr>
                <w:rFonts w:ascii="仿宋_GB2312" w:hAnsi="仿宋_GB2312" w:cs="仿宋_GB2312" w:eastAsia="仿宋_GB2312"/>
                <w:sz w:val="24"/>
                <w:b/>
                <w:color w:val="000000"/>
              </w:rPr>
              <w:t>2.1.2服务内容：</w:t>
            </w:r>
          </w:p>
          <w:p>
            <w:pPr>
              <w:pStyle w:val="null3"/>
              <w:ind w:firstLine="6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1）室内保洁内容</w:t>
            </w:r>
          </w:p>
          <w:p>
            <w:pPr>
              <w:pStyle w:val="null3"/>
              <w:ind w:firstLine="600"/>
              <w:jc w:val="both"/>
            </w:pPr>
            <w:r>
              <w:rPr>
                <w:rFonts w:ascii="仿宋_GB2312" w:hAnsi="仿宋_GB2312" w:cs="仿宋_GB2312" w:eastAsia="仿宋_GB2312"/>
                <w:sz w:val="24"/>
                <w:color w:val="000000"/>
              </w:rPr>
              <w:t>1、地面、墙面。地面每天循环清扫、拖洗保洁；门厅、墙裙保持无灰尘、无污渍，保持各类材质原貌，干净卫生有光泽。</w:t>
            </w:r>
          </w:p>
          <w:p>
            <w:pPr>
              <w:pStyle w:val="null3"/>
              <w:ind w:firstLine="600"/>
              <w:jc w:val="both"/>
            </w:pPr>
            <w:r>
              <w:rPr>
                <w:rFonts w:ascii="仿宋_GB2312" w:hAnsi="仿宋_GB2312" w:cs="仿宋_GB2312" w:eastAsia="仿宋_GB2312"/>
                <w:sz w:val="24"/>
                <w:color w:val="000000"/>
              </w:rPr>
              <w:t>2、室内设施保洁：楼梯扶手、栏杆、窗台。每天擦洗一次，保持干净、无灰尘。消防栓、指示牌、水暖电管（阀）等设备设施。隔天擦洗一次，保持表面干净、无尘土、无污渍。天花板、公共灯具。每半月除尘一次，目视无灰尘、无污渍、无蜘蛛网。</w:t>
            </w:r>
          </w:p>
          <w:p>
            <w:pPr>
              <w:pStyle w:val="null3"/>
              <w:ind w:firstLine="600"/>
              <w:jc w:val="both"/>
            </w:pPr>
            <w:r>
              <w:rPr>
                <w:rFonts w:ascii="仿宋_GB2312" w:hAnsi="仿宋_GB2312" w:cs="仿宋_GB2312" w:eastAsia="仿宋_GB2312"/>
                <w:sz w:val="24"/>
                <w:color w:val="000000"/>
              </w:rPr>
              <w:t>3、卫生间。每天循环保洁；保持洗手台、面盆、镜面、隔断、便池和水龙头清洁明亮；地面无积水、无污渍；定期投放卫生球，每天放置熏香，保持室内无异味；及时清理垃圾桶、纸篓内脏物；墙面每周擦洗一次，天花板每月清扫一次，目视无浮尘，无污渍、无蜘蛛网；每周消毒一次。</w:t>
            </w:r>
          </w:p>
          <w:p>
            <w:pPr>
              <w:pStyle w:val="null3"/>
              <w:ind w:firstLine="600"/>
              <w:jc w:val="both"/>
            </w:pPr>
            <w:r>
              <w:rPr>
                <w:rFonts w:ascii="仿宋_GB2312" w:hAnsi="仿宋_GB2312" w:cs="仿宋_GB2312" w:eastAsia="仿宋_GB2312"/>
                <w:sz w:val="24"/>
                <w:color w:val="000000"/>
              </w:rPr>
              <w:t>4、电梯轿厢。每天循环保洁（如有地毯每天换洗一次），操作板每天消毒一次，每半月对电梯门壁打蜡上光一次，保持表面光亮、无污渍；轿厢壁无浮尘，表面光亮、无污渍。</w:t>
            </w:r>
          </w:p>
          <w:p>
            <w:pPr>
              <w:pStyle w:val="null3"/>
              <w:ind w:firstLine="6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2）室外保洁内容:</w:t>
            </w:r>
          </w:p>
          <w:p>
            <w:pPr>
              <w:pStyle w:val="null3"/>
              <w:ind w:firstLine="600"/>
              <w:jc w:val="both"/>
            </w:pPr>
            <w:r>
              <w:rPr>
                <w:rFonts w:ascii="仿宋_GB2312" w:hAnsi="仿宋_GB2312" w:cs="仿宋_GB2312" w:eastAsia="仿宋_GB2312"/>
                <w:sz w:val="24"/>
                <w:color w:val="000000"/>
              </w:rPr>
              <w:t>1、天台、屋顶。每月清扫一次，无垃圾杂物、无污渍、无青苔、无积水、无蜘蛛网，及时清理雨水口，确保排水畅通。</w:t>
            </w:r>
          </w:p>
          <w:p>
            <w:pPr>
              <w:pStyle w:val="null3"/>
              <w:ind w:firstLine="600"/>
              <w:jc w:val="both"/>
            </w:pPr>
            <w:r>
              <w:rPr>
                <w:rFonts w:ascii="仿宋_GB2312" w:hAnsi="仿宋_GB2312" w:cs="仿宋_GB2312" w:eastAsia="仿宋_GB2312"/>
                <w:sz w:val="24"/>
                <w:color w:val="000000"/>
              </w:rPr>
              <w:t>2、楼外道路地面、绿地、沟道。每天循环清扫保洁，目视地面干净，地面垃圾滞留时间不超过一小时</w:t>
            </w:r>
          </w:p>
          <w:p>
            <w:pPr>
              <w:pStyle w:val="null3"/>
              <w:ind w:firstLine="600"/>
              <w:jc w:val="both"/>
            </w:pPr>
            <w:r>
              <w:rPr>
                <w:rFonts w:ascii="仿宋_GB2312" w:hAnsi="仿宋_GB2312" w:cs="仿宋_GB2312" w:eastAsia="仿宋_GB2312"/>
                <w:sz w:val="24"/>
                <w:color w:val="000000"/>
              </w:rPr>
              <w:t>3、消毒灭害。做好“除四害”工作；每月对各区域喷洒消毒药水一次；每半年开展灭鼠工作一次；消毒药品安排专人专项管理。</w:t>
            </w:r>
          </w:p>
          <w:p>
            <w:pPr>
              <w:pStyle w:val="null3"/>
              <w:ind w:firstLine="6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3）垃圾清理及分类</w:t>
            </w:r>
          </w:p>
          <w:p>
            <w:pPr>
              <w:pStyle w:val="null3"/>
              <w:ind w:firstLine="600"/>
              <w:jc w:val="both"/>
            </w:pPr>
            <w:r>
              <w:rPr>
                <w:rFonts w:ascii="仿宋_GB2312" w:hAnsi="仿宋_GB2312" w:cs="仿宋_GB2312" w:eastAsia="仿宋_GB2312"/>
                <w:sz w:val="24"/>
                <w:color w:val="000000"/>
              </w:rPr>
              <w:t>负责服务区域内垃圾收集、分类、清理，以及垃圾台、作业地面冲洗等。设有垃圾中转站的，根据实际需用进行冲洗、消杀有效控制蚊、蝇等害虫孳生，垃圾分类严格执行省市相关部门规定，分类方案详细、合理、全面，分类制度、措施到位，能有效推动垃圾分类工作开展。</w:t>
            </w:r>
          </w:p>
          <w:p>
            <w:pPr>
              <w:pStyle w:val="null3"/>
              <w:ind w:firstLine="6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4）能源节约</w:t>
            </w:r>
          </w:p>
          <w:p>
            <w:pPr>
              <w:pStyle w:val="null3"/>
              <w:ind w:firstLine="600"/>
              <w:jc w:val="both"/>
            </w:pPr>
            <w:r>
              <w:rPr>
                <w:rFonts w:ascii="仿宋_GB2312" w:hAnsi="仿宋_GB2312" w:cs="仿宋_GB2312" w:eastAsia="仿宋_GB2312"/>
                <w:sz w:val="24"/>
                <w:color w:val="000000"/>
              </w:rPr>
              <w:t>根据本标段提出详细的水电等能源节约管理方案，方案包含：</w:t>
            </w:r>
            <w:r>
              <w:rPr>
                <w:rFonts w:ascii="仿宋_GB2312" w:hAnsi="仿宋_GB2312" w:cs="仿宋_GB2312" w:eastAsia="仿宋_GB2312"/>
                <w:sz w:val="24"/>
                <w:color w:val="000000"/>
              </w:rPr>
              <w:t>①日常用电、用水②日常消耗品使用。</w:t>
            </w:r>
          </w:p>
          <w:p>
            <w:pPr>
              <w:pStyle w:val="null3"/>
              <w:ind w:firstLine="6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5）应急处置方案</w:t>
            </w:r>
          </w:p>
          <w:p>
            <w:pPr>
              <w:pStyle w:val="null3"/>
              <w:ind w:firstLine="600"/>
              <w:jc w:val="both"/>
            </w:pPr>
            <w:r>
              <w:rPr>
                <w:rFonts w:ascii="仿宋_GB2312" w:hAnsi="仿宋_GB2312" w:cs="仿宋_GB2312" w:eastAsia="仿宋_GB2312"/>
                <w:sz w:val="24"/>
                <w:color w:val="000000"/>
              </w:rPr>
              <w:t>投标人针对可能遇到的紧急或意外情况，制定应急处置方案，方案包括：</w:t>
            </w:r>
            <w:r>
              <w:rPr>
                <w:rFonts w:ascii="仿宋_GB2312" w:hAnsi="仿宋_GB2312" w:cs="仿宋_GB2312" w:eastAsia="仿宋_GB2312"/>
                <w:sz w:val="24"/>
                <w:color w:val="000000"/>
              </w:rPr>
              <w:t>①极端天气、火灾、防汛、地震、触电②大型活动、会议、紧急活动。</w:t>
            </w:r>
          </w:p>
          <w:p>
            <w:pPr>
              <w:pStyle w:val="null3"/>
              <w:numPr>
                <w:ilvl w:val="0"/>
                <w:numId w:val="1"/>
              </w:numPr>
              <w:jc w:val="both"/>
            </w:pPr>
            <w:r>
              <w:rPr>
                <w:rFonts w:ascii="仿宋_GB2312" w:hAnsi="仿宋_GB2312" w:cs="仿宋_GB2312" w:eastAsia="仿宋_GB2312"/>
                <w:sz w:val="24"/>
                <w:color w:val="000000"/>
              </w:rPr>
              <w:t>其他采购人安排的需要保洁得部位。</w:t>
            </w:r>
          </w:p>
          <w:p>
            <w:pPr>
              <w:pStyle w:val="null3"/>
              <w:numPr>
                <w:ilvl w:val="0"/>
                <w:numId w:val="1"/>
              </w:numPr>
              <w:jc w:val="both"/>
            </w:pPr>
            <w:r>
              <w:rPr>
                <w:rFonts w:ascii="仿宋_GB2312" w:hAnsi="仿宋_GB2312" w:cs="仿宋_GB2312" w:eastAsia="仿宋_GB2312"/>
                <w:sz w:val="24"/>
                <w:color w:val="000000"/>
              </w:rPr>
              <w:t>学校水电暖及部分设施检查维护维修以及临时安排的杂活。</w:t>
            </w:r>
          </w:p>
          <w:p>
            <w:pPr>
              <w:pStyle w:val="null3"/>
              <w:ind w:firstLine="482"/>
              <w:jc w:val="both"/>
            </w:pPr>
            <w:r>
              <w:rPr>
                <w:rFonts w:ascii="仿宋_GB2312" w:hAnsi="仿宋_GB2312" w:cs="仿宋_GB2312" w:eastAsia="仿宋_GB2312"/>
                <w:sz w:val="24"/>
                <w:b/>
                <w:color w:val="000000"/>
              </w:rPr>
              <w:t>2.1.3服务标准</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1）室内地砖的保洁作业标准</w:t>
            </w:r>
          </w:p>
          <w:p>
            <w:pPr>
              <w:pStyle w:val="null3"/>
              <w:ind w:firstLine="480"/>
              <w:jc w:val="both"/>
            </w:pPr>
            <w:r>
              <w:rPr>
                <w:rFonts w:ascii="仿宋_GB2312" w:hAnsi="仿宋_GB2312" w:cs="仿宋_GB2312" w:eastAsia="仿宋_GB2312"/>
                <w:sz w:val="24"/>
                <w:color w:val="000000"/>
              </w:rPr>
              <w:t>①、地面无尘土、无水迹、无痰迹；</w:t>
            </w:r>
          </w:p>
          <w:p>
            <w:pPr>
              <w:pStyle w:val="null3"/>
              <w:ind w:firstLine="480"/>
              <w:jc w:val="both"/>
            </w:pPr>
            <w:r>
              <w:rPr>
                <w:rFonts w:ascii="仿宋_GB2312" w:hAnsi="仿宋_GB2312" w:cs="仿宋_GB2312" w:eastAsia="仿宋_GB2312"/>
                <w:sz w:val="24"/>
                <w:color w:val="000000"/>
              </w:rPr>
              <w:t>②、地面无杂物、无垃圾物；</w:t>
            </w:r>
          </w:p>
          <w:p>
            <w:pPr>
              <w:pStyle w:val="null3"/>
              <w:ind w:firstLine="480"/>
              <w:jc w:val="both"/>
            </w:pPr>
            <w:r>
              <w:rPr>
                <w:rFonts w:ascii="仿宋_GB2312" w:hAnsi="仿宋_GB2312" w:cs="仿宋_GB2312" w:eastAsia="仿宋_GB2312"/>
                <w:sz w:val="24"/>
                <w:color w:val="000000"/>
              </w:rPr>
              <w:t>③、地面干净、光亮。</w:t>
            </w:r>
          </w:p>
          <w:p>
            <w:pPr>
              <w:pStyle w:val="null3"/>
              <w:ind w:firstLine="480"/>
              <w:jc w:val="both"/>
            </w:pPr>
            <w:r>
              <w:rPr>
                <w:rFonts w:ascii="仿宋_GB2312" w:hAnsi="仿宋_GB2312" w:cs="仿宋_GB2312" w:eastAsia="仿宋_GB2312"/>
                <w:sz w:val="24"/>
                <w:color w:val="000000"/>
              </w:rPr>
              <w:t>④、表面、接缝、角落、边线处洁净，无杂物、尘灰、印迹、污垢、污渍等现象。</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2）楼道及扶手的保洁作业标准</w:t>
            </w:r>
          </w:p>
          <w:p>
            <w:pPr>
              <w:pStyle w:val="null3"/>
              <w:ind w:firstLine="480"/>
              <w:jc w:val="both"/>
            </w:pPr>
            <w:r>
              <w:rPr>
                <w:rFonts w:ascii="仿宋_GB2312" w:hAnsi="仿宋_GB2312" w:cs="仿宋_GB2312" w:eastAsia="仿宋_GB2312"/>
                <w:sz w:val="24"/>
                <w:color w:val="000000"/>
              </w:rPr>
              <w:t>①、地面及边角干净无杂物、无污渍、无尘土，地砖光亮；</w:t>
            </w:r>
          </w:p>
          <w:p>
            <w:pPr>
              <w:pStyle w:val="null3"/>
              <w:ind w:firstLine="480"/>
              <w:jc w:val="both"/>
            </w:pPr>
            <w:r>
              <w:rPr>
                <w:rFonts w:ascii="仿宋_GB2312" w:hAnsi="仿宋_GB2312" w:cs="仿宋_GB2312" w:eastAsia="仿宋_GB2312"/>
                <w:sz w:val="24"/>
                <w:color w:val="000000"/>
              </w:rPr>
              <w:t>②、楼梯内的顶板及灯具、排风口无尘、无污迹；</w:t>
            </w:r>
          </w:p>
          <w:p>
            <w:pPr>
              <w:pStyle w:val="null3"/>
              <w:ind w:firstLine="480"/>
              <w:jc w:val="both"/>
            </w:pPr>
            <w:r>
              <w:rPr>
                <w:rFonts w:ascii="仿宋_GB2312" w:hAnsi="仿宋_GB2312" w:cs="仿宋_GB2312" w:eastAsia="仿宋_GB2312"/>
                <w:sz w:val="24"/>
                <w:color w:val="000000"/>
              </w:rPr>
              <w:t>③、扶手、栏杆无尘土、无污渍；</w:t>
            </w:r>
          </w:p>
          <w:p>
            <w:pPr>
              <w:pStyle w:val="null3"/>
              <w:ind w:firstLine="480"/>
              <w:jc w:val="both"/>
            </w:pPr>
            <w:r>
              <w:rPr>
                <w:rFonts w:ascii="仿宋_GB2312" w:hAnsi="仿宋_GB2312" w:cs="仿宋_GB2312" w:eastAsia="仿宋_GB2312"/>
                <w:sz w:val="24"/>
                <w:color w:val="000000"/>
              </w:rPr>
              <w:t>④、楼道内无堆放杂物。</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3）电梯的保洁作业标准</w:t>
            </w:r>
          </w:p>
          <w:p>
            <w:pPr>
              <w:pStyle w:val="null3"/>
              <w:ind w:firstLine="480"/>
              <w:jc w:val="both"/>
            </w:pPr>
            <w:r>
              <w:rPr>
                <w:rFonts w:ascii="仿宋_GB2312" w:hAnsi="仿宋_GB2312" w:cs="仿宋_GB2312" w:eastAsia="仿宋_GB2312"/>
                <w:sz w:val="24"/>
                <w:color w:val="000000"/>
              </w:rPr>
              <w:t>①、电梯门干净、无手印、无污迹；轨道干净无杂物。</w:t>
            </w:r>
          </w:p>
          <w:p>
            <w:pPr>
              <w:pStyle w:val="null3"/>
              <w:ind w:firstLine="480"/>
              <w:jc w:val="both"/>
            </w:pPr>
            <w:r>
              <w:rPr>
                <w:rFonts w:ascii="仿宋_GB2312" w:hAnsi="仿宋_GB2312" w:cs="仿宋_GB2312" w:eastAsia="仿宋_GB2312"/>
                <w:sz w:val="24"/>
                <w:color w:val="000000"/>
              </w:rPr>
              <w:t>②、顶板、顶灯等干净无尘土。</w:t>
            </w:r>
          </w:p>
          <w:p>
            <w:pPr>
              <w:pStyle w:val="null3"/>
              <w:ind w:firstLine="480"/>
              <w:jc w:val="both"/>
            </w:pPr>
            <w:r>
              <w:rPr>
                <w:rFonts w:ascii="仿宋_GB2312" w:hAnsi="仿宋_GB2312" w:cs="仿宋_GB2312" w:eastAsia="仿宋_GB2312"/>
                <w:sz w:val="24"/>
                <w:color w:val="000000"/>
              </w:rPr>
              <w:t>③、轿箱四壁干净无尘土、无污渍、无滑伤。</w:t>
            </w:r>
          </w:p>
          <w:p>
            <w:pPr>
              <w:pStyle w:val="null3"/>
              <w:ind w:firstLine="480"/>
              <w:jc w:val="both"/>
            </w:pPr>
            <w:r>
              <w:rPr>
                <w:rFonts w:ascii="仿宋_GB2312" w:hAnsi="仿宋_GB2312" w:cs="仿宋_GB2312" w:eastAsia="仿宋_GB2312"/>
                <w:sz w:val="24"/>
                <w:color w:val="000000"/>
              </w:rPr>
              <w:t>④、地板干净无杂物、无尘土、无污渍。</w:t>
            </w:r>
          </w:p>
          <w:p>
            <w:pPr>
              <w:pStyle w:val="null3"/>
              <w:ind w:firstLine="480"/>
              <w:jc w:val="both"/>
            </w:pPr>
            <w:r>
              <w:rPr>
                <w:rFonts w:ascii="仿宋_GB2312" w:hAnsi="仿宋_GB2312" w:cs="仿宋_GB2312" w:eastAsia="仿宋_GB2312"/>
                <w:sz w:val="24"/>
                <w:color w:val="000000"/>
              </w:rPr>
              <w:t>⑤、内外按键、控盘干净无尘、无污。</w:t>
            </w:r>
          </w:p>
          <w:p>
            <w:pPr>
              <w:pStyle w:val="null3"/>
              <w:ind w:firstLine="480"/>
              <w:jc w:val="both"/>
            </w:pPr>
            <w:r>
              <w:rPr>
                <w:rFonts w:ascii="仿宋_GB2312" w:hAnsi="仿宋_GB2312" w:cs="仿宋_GB2312" w:eastAsia="仿宋_GB2312"/>
                <w:sz w:val="24"/>
                <w:color w:val="000000"/>
              </w:rPr>
              <w:t>⑥、轿箱内各种干净、无尘土。</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4）玻璃、镜面的保洁作业标准</w:t>
            </w:r>
          </w:p>
          <w:p>
            <w:pPr>
              <w:pStyle w:val="null3"/>
              <w:ind w:firstLine="480"/>
              <w:jc w:val="both"/>
            </w:pPr>
            <w:r>
              <w:rPr>
                <w:rFonts w:ascii="仿宋_GB2312" w:hAnsi="仿宋_GB2312" w:cs="仿宋_GB2312" w:eastAsia="仿宋_GB2312"/>
                <w:sz w:val="24"/>
                <w:color w:val="000000"/>
              </w:rPr>
              <w:t>①、目视玻璃表面光亮、无水印、无污迹。</w:t>
            </w:r>
          </w:p>
          <w:p>
            <w:pPr>
              <w:pStyle w:val="null3"/>
              <w:ind w:firstLine="480"/>
              <w:jc w:val="both"/>
            </w:pPr>
            <w:r>
              <w:rPr>
                <w:rFonts w:ascii="仿宋_GB2312" w:hAnsi="仿宋_GB2312" w:cs="仿宋_GB2312" w:eastAsia="仿宋_GB2312"/>
                <w:sz w:val="24"/>
                <w:color w:val="000000"/>
              </w:rPr>
              <w:t>②、玻璃面上无污渍、水渍，清洁后用纸巾擦拭50cm无灰尘。</w:t>
            </w:r>
          </w:p>
          <w:p>
            <w:pPr>
              <w:pStyle w:val="null3"/>
              <w:ind w:firstLine="480"/>
              <w:jc w:val="both"/>
            </w:pPr>
            <w:r>
              <w:rPr>
                <w:rFonts w:ascii="仿宋_GB2312" w:hAnsi="仿宋_GB2312" w:cs="仿宋_GB2312" w:eastAsia="仿宋_GB2312"/>
                <w:sz w:val="24"/>
                <w:color w:val="000000"/>
              </w:rPr>
              <w:t>③、镜面目视表面光亮、无污迹、手印、3米内能清晰映出人影；</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5）门、窗的保洁作业标准</w:t>
            </w:r>
          </w:p>
          <w:p>
            <w:pPr>
              <w:pStyle w:val="null3"/>
              <w:ind w:firstLine="480"/>
              <w:jc w:val="both"/>
            </w:pPr>
            <w:r>
              <w:rPr>
                <w:rFonts w:ascii="仿宋_GB2312" w:hAnsi="仿宋_GB2312" w:cs="仿宋_GB2312" w:eastAsia="仿宋_GB2312"/>
                <w:sz w:val="24"/>
                <w:color w:val="000000"/>
              </w:rPr>
              <w:t>①、窗台、门框、门套、窗框、窗套及其上下部的缝隙处、玻璃与门框四只角的结合处、铰链、旋转门中轴处等应无尘灰、印迹、污垢、污渍等。</w:t>
            </w:r>
          </w:p>
          <w:p>
            <w:pPr>
              <w:pStyle w:val="null3"/>
              <w:ind w:firstLine="480"/>
              <w:jc w:val="both"/>
            </w:pPr>
            <w:r>
              <w:rPr>
                <w:rFonts w:ascii="仿宋_GB2312" w:hAnsi="仿宋_GB2312" w:cs="仿宋_GB2312" w:eastAsia="仿宋_GB2312"/>
                <w:sz w:val="24"/>
                <w:color w:val="000000"/>
              </w:rPr>
              <w:t>②、门底应无积聚污渍。</w:t>
            </w:r>
          </w:p>
          <w:p>
            <w:pPr>
              <w:pStyle w:val="null3"/>
              <w:ind w:firstLine="480"/>
              <w:jc w:val="both"/>
            </w:pPr>
            <w:r>
              <w:rPr>
                <w:rFonts w:ascii="仿宋_GB2312" w:hAnsi="仿宋_GB2312" w:cs="仿宋_GB2312" w:eastAsia="仿宋_GB2312"/>
                <w:sz w:val="24"/>
                <w:color w:val="000000"/>
              </w:rPr>
              <w:t>③、金属的门、门框、门套、窗框、窗套、扶手、拉手等应无氧化斑点，色泽光亮，并保持其应有的金属质感。</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6）消防通道的保洁作业标准</w:t>
            </w:r>
          </w:p>
          <w:p>
            <w:pPr>
              <w:pStyle w:val="null3"/>
              <w:ind w:firstLine="480"/>
              <w:jc w:val="both"/>
            </w:pPr>
            <w:r>
              <w:rPr>
                <w:rFonts w:ascii="仿宋_GB2312" w:hAnsi="仿宋_GB2312" w:cs="仿宋_GB2312" w:eastAsia="仿宋_GB2312"/>
                <w:sz w:val="24"/>
                <w:color w:val="000000"/>
              </w:rPr>
              <w:t>①、台阶、墙身、天花板、外露设施喉管应无尘灰、无污渍、无污垢。</w:t>
            </w:r>
          </w:p>
          <w:p>
            <w:pPr>
              <w:pStyle w:val="null3"/>
              <w:ind w:firstLine="480"/>
              <w:jc w:val="both"/>
            </w:pPr>
            <w:r>
              <w:rPr>
                <w:rFonts w:ascii="仿宋_GB2312" w:hAnsi="仿宋_GB2312" w:cs="仿宋_GB2312" w:eastAsia="仿宋_GB2312"/>
                <w:sz w:val="24"/>
                <w:color w:val="000000"/>
              </w:rPr>
              <w:t>②、楼梯、平台应无尘灰、无印迹、无污渍、无污垢，装饰砖应色泽鲜明。</w:t>
            </w:r>
          </w:p>
          <w:p>
            <w:pPr>
              <w:pStyle w:val="null3"/>
              <w:ind w:firstLine="480"/>
              <w:jc w:val="both"/>
            </w:pPr>
            <w:r>
              <w:rPr>
                <w:rFonts w:ascii="仿宋_GB2312" w:hAnsi="仿宋_GB2312" w:cs="仿宋_GB2312" w:eastAsia="仿宋_GB2312"/>
                <w:sz w:val="24"/>
                <w:color w:val="000000"/>
              </w:rPr>
              <w:t>③、扶手内外及低部、根部应无尘灰、无印迹、无污渍、无污垢。</w:t>
            </w:r>
          </w:p>
          <w:p>
            <w:pPr>
              <w:pStyle w:val="null3"/>
              <w:ind w:firstLine="480"/>
              <w:jc w:val="both"/>
            </w:pPr>
            <w:r>
              <w:rPr>
                <w:rFonts w:ascii="仿宋_GB2312" w:hAnsi="仿宋_GB2312" w:cs="仿宋_GB2312" w:eastAsia="仿宋_GB2312"/>
                <w:sz w:val="24"/>
                <w:color w:val="000000"/>
              </w:rPr>
              <w:t>④、灯、灯罩、消防报警装置箱体应无尘灰、无圬垢。</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7）风口作业标准</w:t>
            </w:r>
          </w:p>
          <w:p>
            <w:pPr>
              <w:pStyle w:val="null3"/>
              <w:ind w:firstLine="480"/>
              <w:jc w:val="both"/>
            </w:pPr>
            <w:r>
              <w:rPr>
                <w:rFonts w:ascii="仿宋_GB2312" w:hAnsi="仿宋_GB2312" w:cs="仿宋_GB2312" w:eastAsia="仿宋_GB2312"/>
                <w:sz w:val="24"/>
                <w:color w:val="000000"/>
              </w:rPr>
              <w:t>进风口和出风口应保持干净、无积灰、无污渍。</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8）踏步地毯作业标准</w:t>
            </w:r>
          </w:p>
          <w:p>
            <w:pPr>
              <w:pStyle w:val="null3"/>
              <w:ind w:firstLine="480"/>
              <w:jc w:val="both"/>
            </w:pPr>
            <w:r>
              <w:rPr>
                <w:rFonts w:ascii="仿宋_GB2312" w:hAnsi="仿宋_GB2312" w:cs="仿宋_GB2312" w:eastAsia="仿宋_GB2312"/>
                <w:sz w:val="24"/>
                <w:color w:val="000000"/>
              </w:rPr>
              <w:t>应保持干燥，无积水、无污垢、无污渍。</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9）水池作业标准</w:t>
            </w:r>
          </w:p>
          <w:p>
            <w:pPr>
              <w:pStyle w:val="null3"/>
              <w:ind w:firstLine="480"/>
              <w:jc w:val="both"/>
            </w:pPr>
            <w:r>
              <w:rPr>
                <w:rFonts w:ascii="仿宋_GB2312" w:hAnsi="仿宋_GB2312" w:cs="仿宋_GB2312" w:eastAsia="仿宋_GB2312"/>
                <w:sz w:val="24"/>
                <w:color w:val="000000"/>
              </w:rPr>
              <w:t>水池应保持清澈透明，无漂浮及积存杂物、无青苔、无异味。</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10）网架及天花板作业标准</w:t>
            </w:r>
          </w:p>
          <w:p>
            <w:pPr>
              <w:pStyle w:val="null3"/>
              <w:ind w:firstLine="480"/>
              <w:jc w:val="both"/>
            </w:pPr>
            <w:r>
              <w:rPr>
                <w:rFonts w:ascii="仿宋_GB2312" w:hAnsi="仿宋_GB2312" w:cs="仿宋_GB2312" w:eastAsia="仿宋_GB2312"/>
                <w:sz w:val="24"/>
                <w:color w:val="000000"/>
              </w:rPr>
              <w:t>网架及天花板应保持清洁、表面色泽均匀，无积灰、无坠挂物。</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11）各类显示器及指标牌作业标准</w:t>
            </w:r>
          </w:p>
          <w:p>
            <w:pPr>
              <w:pStyle w:val="null3"/>
              <w:ind w:firstLine="480"/>
              <w:jc w:val="both"/>
            </w:pPr>
            <w:r>
              <w:rPr>
                <w:rFonts w:ascii="仿宋_GB2312" w:hAnsi="仿宋_GB2312" w:cs="仿宋_GB2312" w:eastAsia="仿宋_GB2312"/>
                <w:sz w:val="24"/>
                <w:color w:val="000000"/>
              </w:rPr>
              <w:t>指示牌应保持鲜明、醒目。显示器及指示牌表面应无积灰、无污渍、无印迹。</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12）墙面作业标准</w:t>
            </w:r>
          </w:p>
          <w:p>
            <w:pPr>
              <w:pStyle w:val="null3"/>
              <w:ind w:firstLine="480"/>
              <w:jc w:val="both"/>
            </w:pPr>
            <w:r>
              <w:rPr>
                <w:rFonts w:ascii="仿宋_GB2312" w:hAnsi="仿宋_GB2312" w:cs="仿宋_GB2312" w:eastAsia="仿宋_GB2312"/>
                <w:sz w:val="24"/>
                <w:color w:val="000000"/>
              </w:rPr>
              <w:t>表面、接缝、角落、边线处洁净，无杂物、尘灰、印迹、污垢、污渍、划痕等现象。</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13）学校公共区域、道路、绿化带保洁作业标准：</w:t>
            </w:r>
          </w:p>
          <w:p>
            <w:pPr>
              <w:pStyle w:val="null3"/>
              <w:ind w:firstLine="480"/>
              <w:jc w:val="both"/>
            </w:pPr>
            <w:r>
              <w:rPr>
                <w:rFonts w:ascii="仿宋_GB2312" w:hAnsi="仿宋_GB2312" w:cs="仿宋_GB2312" w:eastAsia="仿宋_GB2312"/>
                <w:sz w:val="24"/>
                <w:color w:val="000000"/>
              </w:rPr>
              <w:t>①、整体：整洁卫生、无杂物、无积渍；</w:t>
            </w:r>
          </w:p>
          <w:p>
            <w:pPr>
              <w:pStyle w:val="null3"/>
              <w:ind w:firstLine="480"/>
              <w:jc w:val="both"/>
            </w:pPr>
            <w:r>
              <w:rPr>
                <w:rFonts w:ascii="仿宋_GB2312" w:hAnsi="仿宋_GB2312" w:cs="仿宋_GB2312" w:eastAsia="仿宋_GB2312"/>
                <w:sz w:val="24"/>
                <w:color w:val="000000"/>
              </w:rPr>
              <w:t>②、栏杆、灯柱、标识牌：无积尘、无污渍，及时清理乱贴的宣传品；</w:t>
            </w:r>
          </w:p>
          <w:p>
            <w:pPr>
              <w:pStyle w:val="null3"/>
              <w:ind w:firstLine="480"/>
              <w:jc w:val="both"/>
            </w:pPr>
            <w:r>
              <w:rPr>
                <w:rFonts w:ascii="仿宋_GB2312" w:hAnsi="仿宋_GB2312" w:cs="仿宋_GB2312" w:eastAsia="仿宋_GB2312"/>
                <w:sz w:val="24"/>
                <w:color w:val="000000"/>
              </w:rPr>
              <w:t>③、水池：无杂物垃圾，保持通畅；</w:t>
            </w:r>
          </w:p>
          <w:p>
            <w:pPr>
              <w:pStyle w:val="null3"/>
              <w:ind w:firstLine="480"/>
              <w:jc w:val="both"/>
            </w:pPr>
            <w:r>
              <w:rPr>
                <w:rFonts w:ascii="仿宋_GB2312" w:hAnsi="仿宋_GB2312" w:cs="仿宋_GB2312" w:eastAsia="仿宋_GB2312"/>
                <w:sz w:val="24"/>
                <w:color w:val="000000"/>
              </w:rPr>
              <w:t>④、绿化带：无杂物、无垃圾，及时清理枯枝残叶；</w:t>
            </w:r>
          </w:p>
          <w:p>
            <w:pPr>
              <w:pStyle w:val="null3"/>
              <w:ind w:firstLine="480"/>
              <w:jc w:val="both"/>
            </w:pPr>
            <w:r>
              <w:rPr>
                <w:rFonts w:ascii="仿宋_GB2312" w:hAnsi="仿宋_GB2312" w:cs="仿宋_GB2312" w:eastAsia="仿宋_GB2312"/>
                <w:sz w:val="24"/>
                <w:color w:val="000000"/>
              </w:rPr>
              <w:t>⑤、绿植日常养护；</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14）生活垃圾暂存处保洁作业标准：</w:t>
            </w:r>
          </w:p>
          <w:p>
            <w:pPr>
              <w:pStyle w:val="null3"/>
              <w:ind w:firstLine="480"/>
              <w:jc w:val="both"/>
            </w:pPr>
            <w:r>
              <w:rPr>
                <w:rFonts w:ascii="仿宋_GB2312" w:hAnsi="仿宋_GB2312" w:cs="仿宋_GB2312" w:eastAsia="仿宋_GB2312"/>
                <w:sz w:val="24"/>
                <w:color w:val="000000"/>
              </w:rPr>
              <w:t>按规定分类收集、规范消毒，做到无垃圾堆积、日产日清，周边卫生无散放垃圾，无臭味、无油污、无血迹、无积渍；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15）维修工作标准</w:t>
            </w:r>
          </w:p>
          <w:p>
            <w:pPr>
              <w:pStyle w:val="null3"/>
              <w:ind w:firstLine="480"/>
              <w:jc w:val="both"/>
            </w:pPr>
            <w:r>
              <w:rPr>
                <w:rFonts w:ascii="仿宋_GB2312" w:hAnsi="仿宋_GB2312" w:cs="仿宋_GB2312" w:eastAsia="仿宋_GB2312"/>
                <w:sz w:val="24"/>
                <w:color w:val="000000"/>
              </w:rPr>
              <w:t>按照规定以及采购人要求进行维护维修，达到采购人要求的标准。</w:t>
            </w:r>
          </w:p>
          <w:p>
            <w:pPr>
              <w:pStyle w:val="null3"/>
              <w:ind w:firstLine="482"/>
              <w:jc w:val="both"/>
            </w:pPr>
            <w:r>
              <w:rPr>
                <w:rFonts w:ascii="仿宋_GB2312" w:hAnsi="仿宋_GB2312" w:cs="仿宋_GB2312" w:eastAsia="仿宋_GB2312"/>
                <w:sz w:val="24"/>
                <w:b/>
                <w:color w:val="000000"/>
              </w:rPr>
              <w:t>2.2人员要求</w:t>
            </w:r>
          </w:p>
          <w:p>
            <w:pPr>
              <w:pStyle w:val="null3"/>
              <w:ind w:firstLine="480"/>
              <w:jc w:val="both"/>
            </w:pPr>
            <w:r>
              <w:rPr>
                <w:rFonts w:ascii="仿宋_GB2312" w:hAnsi="仿宋_GB2312" w:cs="仿宋_GB2312" w:eastAsia="仿宋_GB2312"/>
                <w:sz w:val="24"/>
                <w:color w:val="000000"/>
              </w:rPr>
              <w:t>本项目人员配备要求</w:t>
            </w:r>
            <w:r>
              <w:rPr>
                <w:rFonts w:ascii="仿宋_GB2312" w:hAnsi="仿宋_GB2312" w:cs="仿宋_GB2312" w:eastAsia="仿宋_GB2312"/>
                <w:sz w:val="24"/>
                <w:color w:val="000000"/>
              </w:rPr>
              <w:t>:配置总人数不少于22人（其中保洁人员18人，维修工4人）。</w:t>
            </w:r>
          </w:p>
          <w:p>
            <w:pPr>
              <w:pStyle w:val="null3"/>
              <w:ind w:firstLine="480"/>
              <w:jc w:val="both"/>
            </w:pPr>
            <w:r>
              <w:rPr>
                <w:rFonts w:ascii="仿宋_GB2312" w:hAnsi="仿宋_GB2312" w:cs="仿宋_GB2312" w:eastAsia="仿宋_GB2312"/>
                <w:sz w:val="24"/>
                <w:color w:val="000000"/>
              </w:rPr>
              <w:t>人员要求：</w:t>
            </w:r>
            <w:r>
              <w:rPr>
                <w:rFonts w:ascii="仿宋_GB2312" w:hAnsi="仿宋_GB2312" w:cs="仿宋_GB2312" w:eastAsia="仿宋_GB2312"/>
                <w:sz w:val="24"/>
                <w:color w:val="000000"/>
              </w:rPr>
              <w:t>60周岁（含）以下，具有较好沟通能力，身体健康，无传染病（磋商阶段需提供承诺，合同签订后人员上岗前需提供体检证明）；所招聘服务人员做到遵纪守法、品行良好，无违法犯罪记录（提供承诺）；并培训考核合格后方可上岗。并提供给派遣人员缴纳的意外险证明。</w:t>
            </w:r>
          </w:p>
          <w:p>
            <w:pPr>
              <w:pStyle w:val="null3"/>
              <w:ind w:firstLine="482"/>
              <w:jc w:val="both"/>
            </w:pPr>
            <w:r>
              <w:rPr>
                <w:rFonts w:ascii="仿宋_GB2312" w:hAnsi="仿宋_GB2312" w:cs="仿宋_GB2312" w:eastAsia="仿宋_GB2312"/>
                <w:sz w:val="24"/>
                <w:b/>
                <w:color w:val="000000"/>
              </w:rPr>
              <w:t>2.3其他服务要求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1）必须保证保洁责任区域内的清洁卫生和维修工作，工作随时进行日常维护。</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2）人员需执行考勤制度，保洁时间实行错峰时段6:00-8:00/12:00-14:00（其他时段保洁人员需在岗及时进行应急处理），室外保洁人员保洁时间8:00-17:00，其他时段保洁值班人员不少于3人。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3）应服从学校统一安排，积极配合学校的重大活动或临时工作安排。做好保洁服务和维修工作，活动结束后及时清场，保持环境清洁干净。</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4）根据节假日调整工作人员。节假日正常维护维修，保洁标准不能降低。在节假日到来之前，保洁公司要把假期值班安排好，包括值班人员信息、值班人员总数上报学校管理部门。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5）保证至少有一名管理人员常驻，负责对保洁、维修工作的日常管理并做好人员的教育和培训等工作，协调学校与成交人的各项事宜。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6）现有的扫地设备供应商可继续使用，日常清扫设备、清洁工具、清洁剂、维修工具、服装、手套等由采购人承担，所用物品需满足相关要求（具体以合同为准）。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7）供应商应加强人员的管理和培训，统一着装，佩戴上岗证。</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切实保证工作时间和效果，对于学校认为不能胜任工作的员工，有权向供应商提出更换要求。人员违纪或损坏、盗窃学校和个人财产的，一经查实，供应商应加倍赔偿学校损失，并提出使学校满意的处理方案，防止此类事件再次发生。</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9）维修工工作期间需持证上岗。</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10）供应商聘用人员必须依照政府有关规定，接受采购人的监督与指导，合同期间供应商与其内部工作人员及内部工作人员之间发生的有关纠纷及损伤等情况，由供应商自行负责。</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11）供应商工作人员在工作期间要注意节水节电，电梯员持证上岗。</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12）供应商必须明确相关部位人员配备和分布情况。</w:t>
            </w:r>
          </w:p>
          <w:p>
            <w:pPr>
              <w:pStyle w:val="null3"/>
              <w:ind w:firstLine="482"/>
              <w:jc w:val="both"/>
            </w:pPr>
            <w:r>
              <w:rPr>
                <w:rFonts w:ascii="仿宋_GB2312" w:hAnsi="仿宋_GB2312" w:cs="仿宋_GB2312" w:eastAsia="仿宋_GB2312"/>
                <w:sz w:val="24"/>
                <w:b/>
                <w:color w:val="000000"/>
              </w:rPr>
              <w:t>三、服务质量目标、考核办法</w:t>
            </w:r>
          </w:p>
          <w:p>
            <w:pPr>
              <w:pStyle w:val="null3"/>
              <w:ind w:firstLine="480"/>
              <w:jc w:val="both"/>
            </w:pPr>
            <w:r>
              <w:rPr>
                <w:rFonts w:ascii="仿宋_GB2312" w:hAnsi="仿宋_GB2312" w:cs="仿宋_GB2312" w:eastAsia="仿宋_GB2312"/>
                <w:sz w:val="24"/>
                <w:color w:val="000000"/>
              </w:rPr>
              <w:t>3.1符合国家、省、市、区、街道等各级进行的卫生检查标准，严禁使用含氢酸的清洁剂和其它有毒或腐蚀性清洁剂。</w:t>
            </w:r>
          </w:p>
          <w:p>
            <w:pPr>
              <w:pStyle w:val="null3"/>
              <w:ind w:firstLine="480"/>
              <w:jc w:val="both"/>
            </w:pPr>
            <w:r>
              <w:rPr>
                <w:rFonts w:ascii="仿宋_GB2312" w:hAnsi="仿宋_GB2312" w:cs="仿宋_GB2312" w:eastAsia="仿宋_GB2312"/>
                <w:sz w:val="24"/>
                <w:color w:val="000000"/>
              </w:rPr>
              <w:t>3.2接受学校管理科室的考核，</w:t>
            </w:r>
            <w:r>
              <w:rPr>
                <w:rFonts w:ascii="仿宋_GB2312" w:hAnsi="仿宋_GB2312" w:cs="仿宋_GB2312" w:eastAsia="仿宋_GB2312"/>
                <w:sz w:val="24"/>
                <w:color w:val="000000"/>
              </w:rPr>
              <w:t>实行每月一次考核制。</w:t>
            </w:r>
            <w:r>
              <w:rPr>
                <w:rFonts w:ascii="仿宋_GB2312" w:hAnsi="仿宋_GB2312" w:cs="仿宋_GB2312" w:eastAsia="仿宋_GB2312"/>
                <w:sz w:val="24"/>
                <w:color w:val="000000"/>
              </w:rPr>
              <w:t>发生上级部门检查不合格或其他情况，经学校研究视情节轻重扣除相应保洁费。</w:t>
            </w:r>
          </w:p>
          <w:p>
            <w:pPr>
              <w:pStyle w:val="null3"/>
              <w:ind w:firstLine="560"/>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40"/>
                <w:b/>
                <w:color w:val="000000"/>
              </w:rPr>
              <w:t>商务要求</w:t>
            </w:r>
            <w:r>
              <w:rPr>
                <w:rFonts w:ascii="仿宋_GB2312" w:hAnsi="仿宋_GB2312" w:cs="仿宋_GB2312" w:eastAsia="仿宋_GB2312"/>
                <w:sz w:val="40"/>
                <w:b/>
                <w:color w:val="000000"/>
              </w:rPr>
              <w:t>★</w:t>
            </w:r>
          </w:p>
          <w:p>
            <w:pPr>
              <w:pStyle w:val="null3"/>
              <w:jc w:val="both"/>
            </w:pPr>
            <w:r>
              <w:rPr>
                <w:rFonts w:ascii="仿宋_GB2312" w:hAnsi="仿宋_GB2312" w:cs="仿宋_GB2312" w:eastAsia="仿宋_GB2312"/>
                <w:sz w:val="24"/>
                <w:b/>
                <w:color w:val="000000"/>
              </w:rPr>
              <w:t>一、服务期及地点：</w:t>
            </w:r>
          </w:p>
          <w:p>
            <w:pPr>
              <w:pStyle w:val="null3"/>
              <w:jc w:val="both"/>
            </w:pPr>
            <w:r>
              <w:rPr>
                <w:rFonts w:ascii="仿宋_GB2312" w:hAnsi="仿宋_GB2312" w:cs="仿宋_GB2312" w:eastAsia="仿宋_GB2312"/>
                <w:sz w:val="24"/>
                <w:b/>
                <w:color w:val="000000"/>
              </w:rPr>
              <w:t>1、服务期：</w:t>
            </w:r>
            <w:r>
              <w:rPr>
                <w:rFonts w:ascii="仿宋_GB2312" w:hAnsi="仿宋_GB2312" w:cs="仿宋_GB2312" w:eastAsia="仿宋_GB2312"/>
                <w:sz w:val="24"/>
                <w:color w:val="000000"/>
              </w:rPr>
              <w:t>合同签订之日起</w:t>
            </w:r>
            <w:r>
              <w:rPr>
                <w:rFonts w:ascii="仿宋_GB2312" w:hAnsi="仿宋_GB2312" w:cs="仿宋_GB2312" w:eastAsia="仿宋_GB2312"/>
                <w:sz w:val="24"/>
                <w:color w:val="000000"/>
              </w:rPr>
              <w:t>1</w:t>
            </w:r>
            <w:r>
              <w:rPr>
                <w:rFonts w:ascii="仿宋_GB2312" w:hAnsi="仿宋_GB2312" w:cs="仿宋_GB2312" w:eastAsia="仿宋_GB2312"/>
                <w:sz w:val="24"/>
                <w:color w:val="000000"/>
              </w:rPr>
              <w:t>年（寒暑假除外）。</w:t>
            </w:r>
          </w:p>
          <w:p>
            <w:pPr>
              <w:pStyle w:val="null3"/>
              <w:jc w:val="both"/>
            </w:pPr>
            <w:r>
              <w:rPr>
                <w:rFonts w:ascii="仿宋_GB2312" w:hAnsi="仿宋_GB2312" w:cs="仿宋_GB2312" w:eastAsia="仿宋_GB2312"/>
                <w:sz w:val="24"/>
                <w:b/>
                <w:color w:val="000000"/>
              </w:rPr>
              <w:t>2、服务地点：</w:t>
            </w:r>
            <w:r>
              <w:rPr>
                <w:rFonts w:ascii="仿宋_GB2312" w:hAnsi="仿宋_GB2312" w:cs="仿宋_GB2312" w:eastAsia="仿宋_GB2312"/>
                <w:sz w:val="24"/>
                <w:b/>
                <w:color w:val="000000"/>
              </w:rPr>
              <w:t>富平县，</w:t>
            </w:r>
            <w:r>
              <w:rPr>
                <w:rFonts w:ascii="仿宋_GB2312" w:hAnsi="仿宋_GB2312" w:cs="仿宋_GB2312" w:eastAsia="仿宋_GB2312"/>
                <w:sz w:val="24"/>
                <w:color w:val="000000"/>
              </w:rPr>
              <w:t>采购人指定地点。</w:t>
            </w:r>
          </w:p>
          <w:p>
            <w:pPr>
              <w:pStyle w:val="null3"/>
              <w:jc w:val="both"/>
            </w:pPr>
            <w:r>
              <w:rPr>
                <w:rFonts w:ascii="仿宋_GB2312" w:hAnsi="仿宋_GB2312" w:cs="仿宋_GB2312" w:eastAsia="仿宋_GB2312"/>
                <w:sz w:val="24"/>
                <w:b/>
                <w:color w:val="000000"/>
              </w:rPr>
              <w:t>二、服务质量：</w:t>
            </w:r>
            <w:r>
              <w:rPr>
                <w:rFonts w:ascii="仿宋_GB2312" w:hAnsi="仿宋_GB2312" w:cs="仿宋_GB2312" w:eastAsia="仿宋_GB2312"/>
                <w:sz w:val="24"/>
                <w:color w:val="000000"/>
              </w:rPr>
              <w:t>满足行业标准以及采购人要求</w:t>
            </w:r>
          </w:p>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、付款方式：</w:t>
            </w:r>
          </w:p>
          <w:p>
            <w:pPr>
              <w:pStyle w:val="null3"/>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付款方式：</w:t>
            </w:r>
            <w:r>
              <w:rPr>
                <w:rFonts w:ascii="仿宋_GB2312" w:hAnsi="仿宋_GB2312" w:cs="仿宋_GB2312" w:eastAsia="仿宋_GB2312"/>
                <w:sz w:val="24"/>
                <w:color w:val="000000"/>
              </w:rPr>
              <w:t>合同签订后，服务期结束前付清所有款项。</w:t>
            </w:r>
          </w:p>
          <w:p>
            <w:pPr>
              <w:pStyle w:val="null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结算方式：</w:t>
            </w:r>
            <w:r>
              <w:rPr>
                <w:rFonts w:ascii="仿宋_GB2312" w:hAnsi="仿宋_GB2312" w:cs="仿宋_GB2312" w:eastAsia="仿宋_GB2312"/>
                <w:sz w:val="24"/>
                <w:color w:val="000000"/>
              </w:rPr>
              <w:t>对公转账。</w:t>
            </w:r>
          </w:p>
          <w:p>
            <w:pPr>
              <w:pStyle w:val="null3"/>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、合同实施：</w:t>
            </w:r>
          </w:p>
          <w:p>
            <w:pPr>
              <w:pStyle w:val="null3"/>
              <w:jc w:val="both"/>
            </w:pPr>
            <w:r>
              <w:rPr>
                <w:rFonts w:ascii="仿宋_GB2312" w:hAnsi="仿宋_GB2312" w:cs="仿宋_GB2312" w:eastAsia="仿宋_GB2312"/>
                <w:sz w:val="24"/>
                <w:color w:val="000000"/>
              </w:rPr>
              <w:t>1、履约保证金：无</w:t>
            </w:r>
          </w:p>
          <w:p>
            <w:pPr>
              <w:pStyle w:val="null3"/>
              <w:jc w:val="both"/>
            </w:pPr>
            <w:r>
              <w:rPr>
                <w:rFonts w:ascii="仿宋_GB2312" w:hAnsi="仿宋_GB2312" w:cs="仿宋_GB2312" w:eastAsia="仿宋_GB2312"/>
                <w:sz w:val="24"/>
                <w:color w:val="000000"/>
              </w:rPr>
              <w:t>2、成交单位应在合同签订后7个日历日内安排人员与使用单位就本项目工作进行安排、部署。</w:t>
            </w:r>
          </w:p>
          <w:p>
            <w:pPr>
              <w:pStyle w:val="null3"/>
              <w:jc w:val="both"/>
            </w:pPr>
            <w:r>
              <w:rPr>
                <w:rFonts w:ascii="仿宋_GB2312" w:hAnsi="仿宋_GB2312" w:cs="仿宋_GB2312" w:eastAsia="仿宋_GB2312"/>
                <w:sz w:val="24"/>
                <w:color w:val="000000"/>
              </w:rPr>
              <w:t>3、若因成交单位原因未能在服务期内完成合同规定的义务，由此对甲方造成的延误和一切损失，由成交单位承担和赔偿。</w:t>
            </w:r>
          </w:p>
          <w:p>
            <w:pPr>
              <w:pStyle w:val="null3"/>
              <w:jc w:val="both"/>
            </w:pPr>
            <w:r>
              <w:rPr>
                <w:rFonts w:ascii="仿宋_GB2312" w:hAnsi="仿宋_GB2312" w:cs="仿宋_GB2312" w:eastAsia="仿宋_GB2312"/>
                <w:sz w:val="24"/>
                <w:color w:val="000000"/>
              </w:rPr>
              <w:t>4、服务期满，考核合格，无特殊情况，可续签1年。</w:t>
            </w:r>
          </w:p>
          <w:p>
            <w:pPr>
              <w:pStyle w:val="null3"/>
              <w:jc w:val="both"/>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、违约责任：</w:t>
            </w:r>
          </w:p>
          <w:p>
            <w:pPr>
              <w:pStyle w:val="null3"/>
              <w:jc w:val="both"/>
            </w:pPr>
            <w:r>
              <w:rPr>
                <w:rFonts w:ascii="仿宋_GB2312" w:hAnsi="仿宋_GB2312" w:cs="仿宋_GB2312" w:eastAsia="仿宋_GB2312"/>
                <w:sz w:val="24"/>
                <w:color w:val="000000"/>
              </w:rPr>
              <w:t>1、按《中华人民共和国民法典》中的相关条款执行。</w:t>
            </w:r>
          </w:p>
          <w:p>
            <w:pPr>
              <w:pStyle w:val="null3"/>
              <w:jc w:val="both"/>
            </w:pPr>
            <w:r>
              <w:rPr>
                <w:rFonts w:ascii="仿宋_GB2312" w:hAnsi="仿宋_GB2312" w:cs="仿宋_GB2312" w:eastAsia="仿宋_GB2312"/>
                <w:sz w:val="24"/>
                <w:color w:val="000000"/>
              </w:rPr>
              <w:t>2、未按合同要求时限内完成，采购方有权终止合同，并对成交单位违约行为进行追究，同时按《政府采购法》的有关规定进行处罚。</w:t>
            </w:r>
          </w:p>
          <w:p>
            <w:pPr>
              <w:pStyle w:val="null3"/>
              <w:jc w:val="both"/>
            </w:pPr>
            <w:r>
              <w:rPr>
                <w:rFonts w:ascii="仿宋_GB2312" w:hAnsi="仿宋_GB2312" w:cs="仿宋_GB2312" w:eastAsia="仿宋_GB2312"/>
                <w:sz w:val="24"/>
                <w:b/>
                <w:color w:val="000000"/>
              </w:rPr>
              <w:t>注：商务要求为实质性要求，不得负偏离。</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合同签订之日起1年（寒暑假除外）</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合同签订后，服务期结束前付清所有款项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详见竞争性磋商文件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供应商应2024年度经审计的财务报告或在磋商截止时间前六个月（2025年2月至今）其基本开户银行出具的资信证明（须随附开户许可证）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供应商提供磋商截止时间前六个月（2025年2月至今）内任意时段的缴纳证明，依法免税的单位应提供相关证明材料；供应商需在项目电子化交易系统中按要求上传相应证明文件并进行电子签章。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参加本次政府采购活动前三年内，在经营活动中没有重大违法记录的书面声明；②提供具有履行本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①以上为供应商必备资格要求，资格证明文件无效或缺项投标文件按无效文件处理。②分支机构参与投标时，须提供分支机构符合资格要求的证明文件。③书面声明、法定代表人身份证明和法定代表人授权委托书应按竞争性磋商文件的要求填写，响应文件中必须附原件，其他资格证明文件提供复印件并加盖供应商公章。④依法免税或不需要缴纳社会保障资金的供应商须提供相应证明文件；事业单位法人可不提供财务状况报告、税收和社会保障资金缴纳证明；成立不满一年或开标前一年内零申报的税收缴纳证明则只需提供财务报表加盖供应商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响应文件语言及有效期是否合格</w:t>
            </w:r>
          </w:p>
        </w:tc>
        <w:tc>
          <w:tcPr>
            <w:tcW w:type="dxa" w:w="3322"/>
          </w:tcPr>
          <w:p>
            <w:pPr>
              <w:pStyle w:val="null3"/>
            </w:pPr>
            <w:r>
              <w:rPr>
                <w:rFonts w:ascii="仿宋_GB2312" w:hAnsi="仿宋_GB2312" w:cs="仿宋_GB2312" w:eastAsia="仿宋_GB2312"/>
              </w:rPr>
              <w:t>响应文件语言及有效期是否符合磋商文件要求</w:t>
            </w:r>
          </w:p>
        </w:tc>
        <w:tc>
          <w:tcPr>
            <w:tcW w:type="dxa" w:w="1661"/>
          </w:tcPr>
          <w:p>
            <w:pPr>
              <w:pStyle w:val="null3"/>
            </w:pPr>
            <w:r>
              <w:rPr>
                <w:rFonts w:ascii="仿宋_GB2312" w:hAnsi="仿宋_GB2312" w:cs="仿宋_GB2312" w:eastAsia="仿宋_GB2312"/>
              </w:rPr>
              <w:t>供应商参加政府采购活动承诺书.docx 中小企业声明函 报价表 商务条款响应偏离表.docx 资格证明文件.docx 响应方案.docx 响应文件封面 技术规格响应偏离表.docx 磋商一览表.docx 残疾人福利性单位声明函 标的清单 响应函 供应商认为有必要补充说明的事宜.docx 监狱企业的证明文件 磋商函.docx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供应商名称是否合格</w:t>
            </w:r>
          </w:p>
        </w:tc>
        <w:tc>
          <w:tcPr>
            <w:tcW w:type="dxa" w:w="3322"/>
          </w:tcPr>
          <w:p>
            <w:pPr>
              <w:pStyle w:val="null3"/>
            </w:pPr>
            <w:r>
              <w:rPr>
                <w:rFonts w:ascii="仿宋_GB2312" w:hAnsi="仿宋_GB2312" w:cs="仿宋_GB2312" w:eastAsia="仿宋_GB2312"/>
              </w:rPr>
              <w:t>供应商名称是否与购买磋商文件的单位名称一致</w:t>
            </w:r>
          </w:p>
        </w:tc>
        <w:tc>
          <w:tcPr>
            <w:tcW w:type="dxa" w:w="1661"/>
          </w:tcPr>
          <w:p>
            <w:pPr>
              <w:pStyle w:val="null3"/>
            </w:pPr>
            <w:r>
              <w:rPr>
                <w:rFonts w:ascii="仿宋_GB2312" w:hAnsi="仿宋_GB2312" w:cs="仿宋_GB2312" w:eastAsia="仿宋_GB2312"/>
              </w:rPr>
              <w:t>供应商参加政府采购活动承诺书.docx 中小企业声明函 报价表 商务条款响应偏离表.docx 资格证明文件.docx 响应方案.docx 响应文件封面 技术规格响应偏离表.docx 磋商一览表.docx 残疾人福利性单位声明函 标的清单 响应函 供应商认为有必要补充说明的事宜.docx 监狱企业的证明文件 磋商函.docx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响应文件的签字盖章是否合格</w:t>
            </w:r>
          </w:p>
        </w:tc>
        <w:tc>
          <w:tcPr>
            <w:tcW w:type="dxa" w:w="3322"/>
          </w:tcPr>
          <w:p>
            <w:pPr>
              <w:pStyle w:val="null3"/>
            </w:pPr>
            <w:r>
              <w:rPr>
                <w:rFonts w:ascii="仿宋_GB2312" w:hAnsi="仿宋_GB2312" w:cs="仿宋_GB2312" w:eastAsia="仿宋_GB2312"/>
              </w:rPr>
              <w:t>磋商文件要求须签字盖章的地方均已签字、盖章</w:t>
            </w:r>
          </w:p>
        </w:tc>
        <w:tc>
          <w:tcPr>
            <w:tcW w:type="dxa" w:w="1661"/>
          </w:tcPr>
          <w:p>
            <w:pPr>
              <w:pStyle w:val="null3"/>
            </w:pPr>
            <w:r>
              <w:rPr>
                <w:rFonts w:ascii="仿宋_GB2312" w:hAnsi="仿宋_GB2312" w:cs="仿宋_GB2312" w:eastAsia="仿宋_GB2312"/>
              </w:rPr>
              <w:t>供应商参加政府采购活动承诺书.docx 中小企业声明函 报价表 商务条款响应偏离表.docx 资格证明文件.docx 响应方案.docx 响应文件封面 技术规格响应偏离表.docx 磋商一览表.docx 残疾人福利性单位声明函 标的清单 响应函 供应商认为有必要补充说明的事宜.docx 监狱企业的证明文件 磋商函.docx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保证金缴纳凭证</w:t>
            </w:r>
          </w:p>
        </w:tc>
        <w:tc>
          <w:tcPr>
            <w:tcW w:type="dxa" w:w="3322"/>
          </w:tcPr>
          <w:p>
            <w:pPr>
              <w:pStyle w:val="null3"/>
            </w:pPr>
            <w:r>
              <w:rPr>
                <w:rFonts w:ascii="仿宋_GB2312" w:hAnsi="仿宋_GB2312" w:cs="仿宋_GB2312" w:eastAsia="仿宋_GB2312"/>
              </w:rPr>
              <w:t>提供保证金转账凭证或担保机构出具的保函是否符合磋商文件要求</w:t>
            </w:r>
          </w:p>
        </w:tc>
        <w:tc>
          <w:tcPr>
            <w:tcW w:type="dxa" w:w="1661"/>
          </w:tcPr>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（1）磋商报价是否符合唯一性要求； （2）计量单位、报价货币均是否符合磋商文件要求；（3）未超出采购预算或采购文件规定的最高限价。</w:t>
            </w:r>
          </w:p>
        </w:tc>
        <w:tc>
          <w:tcPr>
            <w:tcW w:type="dxa" w:w="1661"/>
          </w:tcPr>
          <w:p>
            <w:pPr>
              <w:pStyle w:val="null3"/>
            </w:pPr>
            <w:r>
              <w:rPr>
                <w:rFonts w:ascii="仿宋_GB2312" w:hAnsi="仿宋_GB2312" w:cs="仿宋_GB2312" w:eastAsia="仿宋_GB2312"/>
              </w:rPr>
              <w:t>磋商一览表.docx 中小企业声明函 残疾人福利性单位声明函 标的清单 报价表 响应函 监狱企业的证明文件 磋商函.docx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是否存在法律法规和竞争性磋商文件规定的其他无效情形</w:t>
            </w:r>
          </w:p>
        </w:tc>
        <w:tc>
          <w:tcPr>
            <w:tcW w:type="dxa" w:w="3322"/>
          </w:tcPr>
          <w:p>
            <w:pPr>
              <w:pStyle w:val="null3"/>
            </w:pPr>
            <w:r>
              <w:rPr>
                <w:rFonts w:ascii="仿宋_GB2312" w:hAnsi="仿宋_GB2312" w:cs="仿宋_GB2312" w:eastAsia="仿宋_GB2312"/>
              </w:rPr>
              <w:t>完全理解并接受法律法规和竞争性磋商文件对投标人的各项须知、规约要求和责任义务，没有出现法律法规或竞争性磋商文件明确规定的其他被视为“无效投标”的情形。</w:t>
            </w:r>
          </w:p>
        </w:tc>
        <w:tc>
          <w:tcPr>
            <w:tcW w:type="dxa" w:w="1661"/>
          </w:tcPr>
          <w:p>
            <w:pPr>
              <w:pStyle w:val="null3"/>
            </w:pPr>
            <w:r>
              <w:rPr>
                <w:rFonts w:ascii="仿宋_GB2312" w:hAnsi="仿宋_GB2312" w:cs="仿宋_GB2312" w:eastAsia="仿宋_GB2312"/>
              </w:rPr>
              <w:t>供应商参加政府采购活动承诺书.docx 中小企业声明函 报价表 商务条款响应偏离表.docx 资格证明文件.docx 响应方案.docx 响应文件封面 技术规格响应偏离表.docx 磋商一览表.docx 残疾人福利性单位声明函 标的清单 响应函 供应商认为有必要补充说明的事宜.docx 监狱企业的证明文件 磋商函.docx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一、评审内容 针对本项目提出详细的保洁服务方案，包括但不限于①工作计划、②人员进驻及管理流程、③保洁服务方案等。 二、评审标准 1.完整性：方案必须全面，对评审内容中的各项要求有详细描述； 2.可实施性：切合本项目实际情况，方案规范、可行性强。 3.针对性：方案能够紧扣项目实际情况，内容科学合理。 三、赋分标准（满分9分） ①工作计划：每完全满足一个评审标准得1分，满分3分。 ②人员进驻及管理流程：每完全满足一个评审标准得1分，满分3分。 ③保洁服务方案：每完全满足一个评审标准得1分，满分3分。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针对本项目有完善的人员培训方案，包括但不限于①服务目标、②培训方案、③特殊情况处理等。 二、评审标准 1.完整性：方案必须全面，对评审内容中的各项要求有详细描述； 2.可实施性：切合本项目实际情况，方案规范、可行性强。 3.针对性：方案能够紧扣项目实际情况，内容科学合理。 三、赋分标准（满分9分） ①培训目标：每完全满足一个评审标准得1分，满分3分。 ②培训方案：每完全满足一个评审标准得1分，满分3分。 ③特殊情况处理等：每完全满足一个评审标准得1分，满分3分。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针对本项目有完整的管理制度，包括但不限于①员工聘用管理制度、②服务质量检查制度、③保洁等维修用具、用品安全使用管理制度、④内控制度、⑤信息反馈制度等。 二、评审标准 1.完整性：制度必须全面，对评审内容中的各项要求有详细描述； 2.可实施性：切合本项目实际情况，制度规范、可行性强。 3.针对性：制度能够紧扣项目实际情况，内容科学合理。 三、赋分标准（满分15分） ①员工聘用管理制度：每完全满足一个评审标准得1分，满分3分。 ②服务质量检查制度：每完全满足一个评审标准得1分，满分3分。 ③保洁等维修用具、用品安全使用管理制度：每完全满足一个评审标准得1分，满分3分。 ④内控制度：每完全满足一个评审标准得1分，满分3分。 ⑤信息反馈制度等：每完全满足一个评审标准得1分，满分3分。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投入设备工具情况</w:t>
            </w:r>
          </w:p>
        </w:tc>
        <w:tc>
          <w:tcPr>
            <w:tcW w:type="dxa" w:w="2492"/>
          </w:tcPr>
          <w:p>
            <w:pPr>
              <w:pStyle w:val="null3"/>
            </w:pPr>
            <w:r>
              <w:rPr>
                <w:rFonts w:ascii="仿宋_GB2312" w:hAnsi="仿宋_GB2312" w:cs="仿宋_GB2312" w:eastAsia="仿宋_GB2312"/>
              </w:rPr>
              <w:t>一、评审内容 供应商拟投入的①设备工具、②工作服装、③其他需要配备的情况。 二、评审标准 1.完整性：投入设备必须全面，对评审内容中的各项要求有详细描述； 2.可实施性：切合本项目实际情况，投入设备可行性强。 3.针对性：投入设备能够紧扣项目实际情况，种类齐全，内容科学合理。 三、赋分标准（满分9分） ①设备工具：每完全满足一个评审标准得1分，满分3分。 ②工作服装：每完全满足一个评审标准得1分，满分3分。 ③其他需要配备的情况：每完全满足一个评审标准得1分，满分3分。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针对本项目制定有遇到紧急事件的应急处理保障措施，包含但不限于①遇到火灾、②自然灾害、③流行病高发期、④大型活动及采购人安排的其他事项等应急保障措施。 二、评审标准 1.完整性：措施必须全面，对评审内容中的各项要求有详细描述； 2.可实施性：切合本项目实际情况，措施规范，可行性强。 3.针对性：措施能够紧扣项目实际情况，内容科学合理。 三、赋分标准（满分12分） ①遇到火灾：每完全满足一个评审标准得1分，满分3分。 ②自然灾害：每完全满足一个评审标准得1分，满分3分。 ③流行病高发期：每完全满足一个评审标准得1分，满分3分。 ④大型活动及采购人安排的其他事项等应急保障措施：每完全满足一个评审标准得1分，满分3分。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针对本项目制定详细的服务质量保证措施，包含但不限于①有切实可行的质量保证措施、②考虑并满足学校的多种需求、③接受采购人对服务的监督、批评和建议、④确保服务各阶段成果达到服务要求等。 二、评审标准 1.完整性：措施必须全面，对评审内容中的各项要求有详细描述； 2.可实施性：切合本项目实际情况，措施规范，可行性强。 3.针对性：措施能够紧扣项目实际情况，内容科学合理。 三、赋分标准（满分12分） ①有切实可行的质量保证措施：每完全满足一个评审标准得1分，满分3分。 ②考虑并满足学校的多种需求：每完全满足一个评审标准得1分，满分3分。 ③接受采购人对服务的监督、批评和建议：每完全满足一个评审标准得1分，满分3分。 ④确保服务各阶段成果达到服务要求等：每完全满足一个评审标准得1分，满分3分。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拟投入人员</w:t>
            </w:r>
          </w:p>
        </w:tc>
        <w:tc>
          <w:tcPr>
            <w:tcW w:type="dxa" w:w="2492"/>
          </w:tcPr>
          <w:p>
            <w:pPr>
              <w:pStyle w:val="null3"/>
            </w:pPr>
            <w:r>
              <w:rPr>
                <w:rFonts w:ascii="仿宋_GB2312" w:hAnsi="仿宋_GB2312" w:cs="仿宋_GB2312" w:eastAsia="仿宋_GB2312"/>
              </w:rPr>
              <w:t>投标人提供的人员安排，数量及素质应满足服务要求，提供拟投入人员基本信息、以及相关证书等证明材料。 人员配备齐全、专业性强、责任制度清晰、职责划分明确，具备22人（含22人）以上，相关证书等证明材料提供齐全得2-5分； 人员配备不够齐全、职责划分不够明确，提供的证明材料不全面的得0-2分。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针对本项目制定详细的服务承诺，包含但不限于①承诺所有上岗人员在上岗前经过专业培训、②承诺若出现服务人员因事、病等不能工作的，及时调整其他服务人员补充、③确保服务工作的正常进行的承诺。 二、评审标准 1.完整性：承诺必须全面，对评审内容中的各项要求有详细描述； 2.可实施性：切合本项目实际情况，承诺规范，可行性强。 3.针对性：承诺能够紧扣项目实际情况，内容科学合理。 三、赋分标准（满分9分） ①承诺所有上岗人员在上岗前经过专业培训：每完全满足一个评审标准得1分，满分3分。 ②承诺若出现服务人员因事、病等不能工作的，及时调整其他服务人员补充：每完全满足一个评审标准得1分，满分3分。 ③确保服务工作的正常进行的承诺：每完全满足一个评审标准得1分，满分3分。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供应商提供自2022年1月1日起至今类似业绩证明材料，每提供1项类似项目业绩得2分，最多得10分，提供的业绩证明材料不符合要求或不提供不得分。 注：附合同复印件或扫描件并加盖供应商公章，时间以合同签订时间体现的时间为准。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价格分采用低价优先法计算，即满足竞争性磋商文件要求且报价最低的磋商报价为评标基准价，其价格分为满分。其他供应商的价格分统一按照下列公式计算： 磋商报价得分=（评标基准价/磋商报价）×10 磋商小组认为供应商的报价明显低于其他通过符合性审查供应商的报价，有可能影响服务质量或者不能诚信履约的，应当要求其在评标现场合理的时间内提供书面说明，必要时提交相关证明材料；供应商不能证明其报价合理性的，磋商小组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磋商函.docx</w:t>
            </w:r>
          </w:p>
          <w:p>
            <w:pPr>
              <w:pStyle w:val="null3"/>
            </w:pPr>
            <w:r>
              <w:rPr>
                <w:rFonts w:ascii="仿宋_GB2312" w:hAnsi="仿宋_GB2312" w:cs="仿宋_GB2312" w:eastAsia="仿宋_GB2312"/>
              </w:rPr>
              <w:t>磋商一览表.docx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详见附件：磋商函.docx</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