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版本号：JQ2025-ZFCG-0701120250805001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东华街道办路灯安装项目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JQ2025-ZFCG-07011</w:t>
      </w:r>
      <w:r>
        <w:br/>
      </w:r>
      <w:r>
        <w:br/>
      </w:r>
      <w:r>
        <w:br/>
      </w:r>
    </w:p>
    <w:p>
      <w:pPr>
        <w:pStyle w:val="null3"/>
        <w:jc w:val="center"/>
        <w:outlineLvl w:val="2"/>
      </w:pPr>
      <w:r>
        <w:rPr>
          <w:rFonts w:ascii="仿宋_GB2312" w:hAnsi="仿宋_GB2312" w:cs="仿宋_GB2312" w:eastAsia="仿宋_GB2312"/>
          <w:sz w:val="28"/>
          <w:b/>
        </w:rPr>
        <w:t>富平县人民政府东华街道办事处（本级）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富平县人民政府东华街道办事处（本级）</w:t>
      </w:r>
      <w:r>
        <w:rPr>
          <w:rFonts w:ascii="仿宋_GB2312" w:hAnsi="仿宋_GB2312" w:cs="仿宋_GB2312" w:eastAsia="仿宋_GB2312"/>
        </w:rPr>
        <w:t>委托，拟对</w:t>
      </w:r>
      <w:r>
        <w:rPr>
          <w:rFonts w:ascii="仿宋_GB2312" w:hAnsi="仿宋_GB2312" w:cs="仿宋_GB2312" w:eastAsia="仿宋_GB2312"/>
        </w:rPr>
        <w:t>东华街道办路灯安装项目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JQ2025-ZFCG-07011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东华街道办路灯安装项目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路灯安装300盏（华朱村50盏，闫村村109盏，刘坡村51盏，怀阳村45盏，优东村45盏）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采购包1（东华街道办路灯安装项目）：属于专门面向中小企业采购。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1、营业执照：有独立承担民事责任能力的法人、其他组织或自然人，提供合法有效经年检合格的统一社会信用代码营业执照；</w:t>
      </w:r>
    </w:p>
    <w:p>
      <w:pPr>
        <w:pStyle w:val="null3"/>
      </w:pPr>
      <w:r>
        <w:rPr>
          <w:rFonts w:ascii="仿宋_GB2312" w:hAnsi="仿宋_GB2312" w:cs="仿宋_GB2312" w:eastAsia="仿宋_GB2312"/>
        </w:rPr>
        <w:t>2、法定代表人授权委托书及被授权委托书：法定代表人授权委托书（附法定代表人、被授权委托人身份证复印件）及被授权委托人身份证原件（法定代表人参加投标只须提供法定代表人身份证）；</w:t>
      </w:r>
    </w:p>
    <w:p>
      <w:pPr>
        <w:pStyle w:val="null3"/>
      </w:pPr>
      <w:r>
        <w:rPr>
          <w:rFonts w:ascii="仿宋_GB2312" w:hAnsi="仿宋_GB2312" w:cs="仿宋_GB2312" w:eastAsia="仿宋_GB2312"/>
        </w:rPr>
        <w:t>3、资质证书：具有市政公用工程施工总承包三级及以上资质或城市及道路照明工程专业承包三级及以上资质；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具有市政或机电工程专业二级及以上注册建造师资格，并具有合格有效的安全生产考核合格证（B证），且未担任其他在建项目的项目经理（须提供无在建工程的相关证明材料或承诺书）</w:t>
      </w:r>
    </w:p>
    <w:p>
      <w:pPr>
        <w:pStyle w:val="null3"/>
      </w:pPr>
      <w:r>
        <w:rPr>
          <w:rFonts w:ascii="仿宋_GB2312" w:hAnsi="仿宋_GB2312" w:cs="仿宋_GB2312" w:eastAsia="仿宋_GB2312"/>
        </w:rPr>
        <w:t>6、财务审计报告或资信证明：须提供2023年或2024年经审计的财务报告（成立时间至提交投标文件截止时间不足一年的可提供成立后任意时段的财务报表）或投标文件递交截止之日前3个月内基本开户行银行出具的资信证明</w:t>
      </w:r>
    </w:p>
    <w:p>
      <w:pPr>
        <w:pStyle w:val="null3"/>
      </w:pPr>
      <w:r>
        <w:rPr>
          <w:rFonts w:ascii="仿宋_GB2312" w:hAnsi="仿宋_GB2312" w:cs="仿宋_GB2312" w:eastAsia="仿宋_GB2312"/>
        </w:rPr>
        <w:t>7、缴纳税收的良好记录：须提供依法缴纳税收的良好记录（提供投标截止时间前六个月内任意一个月份的缴费凭据复印 件并加盖单位公章或其他相关证明资料）</w:t>
      </w:r>
    </w:p>
    <w:p>
      <w:pPr>
        <w:pStyle w:val="null3"/>
      </w:pPr>
      <w:r>
        <w:rPr>
          <w:rFonts w:ascii="仿宋_GB2312" w:hAnsi="仿宋_GB2312" w:cs="仿宋_GB2312" w:eastAsia="仿宋_GB2312"/>
        </w:rPr>
        <w:t>8、缴纳社会保障资金（养老保险）的良好记录：须提供依法缴纳社会保障资金（养老保险）的良好记录（提供投标截止 时间前六个月内任意一个月份的缴费凭据复印件并加盖单位公章或其他相关证明资料）。</w:t>
      </w:r>
    </w:p>
    <w:p>
      <w:pPr>
        <w:pStyle w:val="null3"/>
      </w:pPr>
      <w:r>
        <w:rPr>
          <w:rFonts w:ascii="仿宋_GB2312" w:hAnsi="仿宋_GB2312" w:cs="仿宋_GB2312" w:eastAsia="仿宋_GB2312"/>
        </w:rPr>
        <w:t>9、网站截图：供应商应在投标截止日前未被列入失信被执行人、重大税收违法案件当事人名单、政府采购严重违法失信 行为记录名单（处罚期限届满的除外（以“信用中国”网站www.creditchina.gov.cn）查询结果为准）；中国政府采购网 （www.ccgp.gov.cn）提供政府采购严重违法失信行为记录名单（处罚期限届满的除外）网站截图并加盖单位公章。</w:t>
      </w:r>
    </w:p>
    <w:p>
      <w:pPr>
        <w:pStyle w:val="null3"/>
      </w:pPr>
      <w:r>
        <w:rPr>
          <w:rFonts w:ascii="仿宋_GB2312" w:hAnsi="仿宋_GB2312" w:cs="仿宋_GB2312" w:eastAsia="仿宋_GB2312"/>
        </w:rPr>
        <w:t>10、近三年内在经营活动中无重大违法记录的书面声明：提供近三年内在经营活动中无重大违法记录的书面声明；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11、投标保证金转账凭证或保函：提供投标保证金转账凭证或保函复印件并加盖单位公章</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12、单位负责人为同一人或者存在直接控股、管理关系的不同供应商，不得参加同一合同项下的政府采购活动的书面声 明：提供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 说明及承诺</w:t>
      </w:r>
    </w:p>
    <w:p>
      <w:pPr>
        <w:pStyle w:val="null3"/>
      </w:pPr>
      <w:r>
        <w:rPr>
          <w:rFonts w:ascii="仿宋_GB2312" w:hAnsi="仿宋_GB2312" w:cs="仿宋_GB2312" w:eastAsia="仿宋_GB2312"/>
        </w:rPr>
        <w:t>14、按时足额发放农民工工资承诺函：提供按时足额发放农民工工资承诺函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富平县人民政府东华街道办事处（本级）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陕西省渭南市富平县富辰一路东北角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15891547565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代理服务费收费标准：招标代理费按（发改价格【2002】1980号文件）计算收取；按《国家发展和改革委员会办公厅关于招标代理服务收费有关问题的通知》（发改办价格【2003】857号文件）执行。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富平县人民政府东华街道办事处（本级）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富平县人民政府东华街道办事处（本级）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富平县人民政府东华街道办事处（本级）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以采购文件及合同约定为准。验收依据：合同文本，招标文件，招标响应文件，工程质量满足国家或行业规范执行合格标准。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946,691.40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东华街道办路灯安装项目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标的名称：东华街道办路灯安装项目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路灯安装300盏（华朱村50盏，闫村村109盏，刘坡村51盏，怀阳村45盏，优东村45盏）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color w:val="000000"/>
              </w:rPr>
              <w:t>工期：合同签订</w:t>
            </w:r>
            <w:r>
              <w:rPr>
                <w:rFonts w:ascii="仿宋_GB2312" w:hAnsi="仿宋_GB2312" w:cs="仿宋_GB2312" w:eastAsia="仿宋_GB2312"/>
                <w:sz w:val="18"/>
                <w:color w:val="000000"/>
              </w:rPr>
              <w:t>后90个</w:t>
            </w:r>
            <w:r>
              <w:rPr>
                <w:rFonts w:ascii="仿宋_GB2312" w:hAnsi="仿宋_GB2312" w:cs="仿宋_GB2312" w:eastAsia="仿宋_GB2312"/>
                <w:sz w:val="18"/>
                <w:color w:val="000000"/>
              </w:rPr>
              <w:t>日历天内施工完毕</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color w:val="000000"/>
              </w:rPr>
              <w:t>质量标准：合格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供应商应提交的相关资格证明材料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审计报告或资信证明：须提供2023年或2024年经审计的财务报告（成立时间至提交投标文件截止时间不足一年的可提供成立后任意时段的财务报表）或投标文件递交截止之日前3个月内基本开户行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有独立承担民事责任能力的法人、其他组织或自然人，提供合法有效经年检合格的统一社会信用代码营业执照；</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法定代表人授权委托书及被授权委托书</w:t>
            </w:r>
          </w:p>
        </w:tc>
        <w:tc>
          <w:tcPr>
            <w:tcW w:type="dxa" w:w="3322"/>
          </w:tcPr>
          <w:p>
            <w:pPr>
              <w:pStyle w:val="null3"/>
            </w:pPr>
            <w:r>
              <w:rPr>
                <w:rFonts w:ascii="仿宋_GB2312" w:hAnsi="仿宋_GB2312" w:cs="仿宋_GB2312" w:eastAsia="仿宋_GB2312"/>
              </w:rPr>
              <w:t>法定代表人授权委托书（附法定代表人、被授权委托人身份证复印件）及被授权委托人身份证原件（法定代表人参加投标只须提供法定代表人身份证）；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具有市政公用工程施工总承包三级及以上资质或城市及道路照明工程专业承包三级及以上资质；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拟派项目经理具有市政或机电工程专业二级及以上注册建造师资格，并具有合格有效的安全生产考核合格证（B证），且未担任其他在建项目的项目经理（须提供无在建工程的相关证明材料或承诺书）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须提供2023年或2024年经审计的财务报告（成立时间至提交投标文件截止时间不足一年的可提供成立后任意时段的财务报表）或投标文件递交截止之日前3个月内基本开户行银行出具的资信证明</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缴纳税收的良好记录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 件并加盖单位公章或其他相关证明资料）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缴纳社会保障资金（养老保险）的良好记录</w:t>
            </w:r>
          </w:p>
        </w:tc>
        <w:tc>
          <w:tcPr>
            <w:tcW w:type="dxa" w:w="3322"/>
          </w:tcPr>
          <w:p>
            <w:pPr>
              <w:pStyle w:val="null3"/>
            </w:pPr>
            <w:r>
              <w:rPr>
                <w:rFonts w:ascii="仿宋_GB2312" w:hAnsi="仿宋_GB2312" w:cs="仿宋_GB2312" w:eastAsia="仿宋_GB2312"/>
              </w:rPr>
              <w:t>须提供依法缴纳社会保障资金（养老保险）的良好记录（提供投标截止 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 行为记录名单（处罚期限届满的除外（以“信用中国”网站www.creditchina.gov.cn）查询结果为准）；中国政府采购网 （www.ccgp.gov.cn）提供政府采购严重违法失信行为记录名单（处罚期限届满的除外）网站截图并加盖单位公章。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投标保证金转账凭证或保函</w:t>
            </w:r>
          </w:p>
        </w:tc>
        <w:tc>
          <w:tcPr>
            <w:tcW w:type="dxa" w:w="3322"/>
          </w:tcPr>
          <w:p>
            <w:pPr>
              <w:pStyle w:val="null3"/>
            </w:pPr>
            <w:r>
              <w:rPr>
                <w:rFonts w:ascii="仿宋_GB2312" w:hAnsi="仿宋_GB2312" w:cs="仿宋_GB2312" w:eastAsia="仿宋_GB2312"/>
              </w:rPr>
              <w:t>提供投标保证金转账凭证或保函复印件并加盖单位公章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 明：提供单位负责人为同一人或者存在直接控股、管理关系的不同供应商，不得参加同一合同项下的政府采购活动的书面声明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 说明及承诺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按时足额发放农民工工资承诺函</w:t>
            </w:r>
          </w:p>
        </w:tc>
        <w:tc>
          <w:tcPr>
            <w:tcW w:type="dxa" w:w="3322"/>
          </w:tcPr>
          <w:p>
            <w:pPr>
              <w:pStyle w:val="null3"/>
            </w:pPr>
            <w:r>
              <w:rPr>
                <w:rFonts w:ascii="仿宋_GB2312" w:hAnsi="仿宋_GB2312" w:cs="仿宋_GB2312" w:eastAsia="仿宋_GB2312"/>
              </w:rPr>
              <w:t>提供按时足额发放农民工工资承诺函</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磋商方案(4).docx 强制优先采购产品承诺函 响应文件封面 项目管理机构组成表 残疾人福利性单位声明函 报价函 标的清单 供应商类似项目业绩一览表 资格证明材料.docx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磋商方案(4).docx 强制优先采购产品承诺函 响应文件封面 项目管理机构组成表 残疾人福利性单位声明函 报价函 标的清单 供应商类似项目业绩一览表 资格证明材料.docx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磋商响应文件份数、格式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磋商方案(4).docx 强制优先采购产品承诺函 响应文件封面 项目管理机构组成表 残疾人福利性单位声明函 报价函 标的清单 供应商类似项目业绩一览表 资格证明材料.docx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磋商方案(4).docx 强制优先采购产品承诺函 响应文件封面 项目管理机构组成表 残疾人福利性单位声明函 报价函 标的清单 供应商类似项目业绩一览表 资格证明材料.docx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 的技术组织措 施</w:t>
            </w:r>
          </w:p>
        </w:tc>
        <w:tc>
          <w:tcPr>
            <w:tcW w:type="dxa" w:w="2492"/>
          </w:tcPr>
          <w:p>
            <w:pPr>
              <w:pStyle w:val="null3"/>
            </w:pPr>
            <w:r>
              <w:rPr>
                <w:rFonts w:ascii="仿宋_GB2312" w:hAnsi="仿宋_GB2312" w:cs="仿宋_GB2312" w:eastAsia="仿宋_GB2312"/>
              </w:rPr>
              <w:t>评委根据编制的优劣程度综合评比，0-9分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磋商方案(4).docx</w:t>
            </w:r>
          </w:p>
        </w:tc>
      </w:tr>
      <w:tr>
        <w:tc>
          <w:tcPr>
            <w:tcW w:type="dxa" w:w="831"/>
            <w:vMerge/>
          </w:tcPr>
          <w:p/>
        </w:tc>
        <w:tc>
          <w:tcPr>
            <w:tcW w:type="dxa" w:w="1661"/>
          </w:tcPr>
          <w:p>
            <w:pPr>
              <w:pStyle w:val="null3"/>
            </w:pPr>
            <w:r>
              <w:rPr>
                <w:rFonts w:ascii="仿宋_GB2312" w:hAnsi="仿宋_GB2312" w:cs="仿宋_GB2312" w:eastAsia="仿宋_GB2312"/>
              </w:rPr>
              <w:t>确保安全生产 的技术组织措 施</w:t>
            </w:r>
          </w:p>
        </w:tc>
        <w:tc>
          <w:tcPr>
            <w:tcW w:type="dxa" w:w="2492"/>
          </w:tcPr>
          <w:p>
            <w:pPr>
              <w:pStyle w:val="null3"/>
            </w:pPr>
            <w:r>
              <w:rPr>
                <w:rFonts w:ascii="仿宋_GB2312" w:hAnsi="仿宋_GB2312" w:cs="仿宋_GB2312" w:eastAsia="仿宋_GB2312"/>
              </w:rPr>
              <w:t>评委根据编制的优劣程度综合评比，0-10分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磋商方案(4).docx</w:t>
            </w:r>
          </w:p>
        </w:tc>
      </w:tr>
      <w:tr>
        <w:tc>
          <w:tcPr>
            <w:tcW w:type="dxa" w:w="831"/>
            <w:vMerge/>
          </w:tcPr>
          <w:p/>
        </w:tc>
        <w:tc>
          <w:tcPr>
            <w:tcW w:type="dxa" w:w="1661"/>
          </w:tcPr>
          <w:p>
            <w:pPr>
              <w:pStyle w:val="null3"/>
            </w:pPr>
            <w:r>
              <w:rPr>
                <w:rFonts w:ascii="仿宋_GB2312" w:hAnsi="仿宋_GB2312" w:cs="仿宋_GB2312" w:eastAsia="仿宋_GB2312"/>
              </w:rPr>
              <w:t>确保文明施工 及环境保护的 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磋商方案(4).docx</w:t>
            </w:r>
          </w:p>
        </w:tc>
      </w:tr>
      <w:tr>
        <w:tc>
          <w:tcPr>
            <w:tcW w:type="dxa" w:w="831"/>
            <w:vMerge/>
          </w:tcPr>
          <w:p/>
        </w:tc>
        <w:tc>
          <w:tcPr>
            <w:tcW w:type="dxa" w:w="1661"/>
          </w:tcPr>
          <w:p>
            <w:pPr>
              <w:pStyle w:val="null3"/>
            </w:pPr>
            <w:r>
              <w:rPr>
                <w:rFonts w:ascii="仿宋_GB2312" w:hAnsi="仿宋_GB2312" w:cs="仿宋_GB2312" w:eastAsia="仿宋_GB2312"/>
              </w:rPr>
              <w:t>确保工期的技 术组织措施附 （网络图或施 工进度计划表 或横道 图）</w:t>
            </w:r>
          </w:p>
        </w:tc>
        <w:tc>
          <w:tcPr>
            <w:tcW w:type="dxa" w:w="2492"/>
          </w:tcPr>
          <w:p>
            <w:pPr>
              <w:pStyle w:val="null3"/>
            </w:pPr>
            <w:r>
              <w:rPr>
                <w:rFonts w:ascii="仿宋_GB2312" w:hAnsi="仿宋_GB2312" w:cs="仿宋_GB2312" w:eastAsia="仿宋_GB2312"/>
              </w:rPr>
              <w:t>评委根据编制的优劣程度综合评比 , 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磋商方案(4).docx</w:t>
            </w:r>
          </w:p>
        </w:tc>
      </w:tr>
      <w:tr>
        <w:tc>
          <w:tcPr>
            <w:tcW w:type="dxa" w:w="831"/>
            <w:vMerge/>
          </w:tcPr>
          <w:p/>
        </w:tc>
        <w:tc>
          <w:tcPr>
            <w:tcW w:type="dxa" w:w="1661"/>
          </w:tcPr>
          <w:p>
            <w:pPr>
              <w:pStyle w:val="null3"/>
            </w:pPr>
            <w:r>
              <w:rPr>
                <w:rFonts w:ascii="仿宋_GB2312" w:hAnsi="仿宋_GB2312" w:cs="仿宋_GB2312" w:eastAsia="仿宋_GB2312"/>
              </w:rPr>
              <w:t>施工方案及项 目部人 员组成 （项目部人员 应附资格证或 职称证 等）</w:t>
            </w:r>
          </w:p>
        </w:tc>
        <w:tc>
          <w:tcPr>
            <w:tcW w:type="dxa" w:w="2492"/>
          </w:tcPr>
          <w:p>
            <w:pPr>
              <w:pStyle w:val="null3"/>
            </w:pPr>
            <w:r>
              <w:rPr>
                <w:rFonts w:ascii="仿宋_GB2312" w:hAnsi="仿宋_GB2312" w:cs="仿宋_GB2312" w:eastAsia="仿宋_GB2312"/>
              </w:rPr>
              <w:t>评委根据编制的优劣程度综合评比 , 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磋商方案(4).docx</w:t>
            </w:r>
          </w:p>
        </w:tc>
      </w:tr>
      <w:tr>
        <w:tc>
          <w:tcPr>
            <w:tcW w:type="dxa" w:w="831"/>
            <w:vMerge/>
          </w:tcPr>
          <w:p/>
        </w:tc>
        <w:tc>
          <w:tcPr>
            <w:tcW w:type="dxa" w:w="1661"/>
          </w:tcPr>
          <w:p>
            <w:pPr>
              <w:pStyle w:val="null3"/>
            </w:pPr>
            <w:r>
              <w:rPr>
                <w:rFonts w:ascii="仿宋_GB2312" w:hAnsi="仿宋_GB2312" w:cs="仿宋_GB2312" w:eastAsia="仿宋_GB2312"/>
              </w:rPr>
              <w:t>施工机械设备 配备计 划及劳 动力配备计划</w:t>
            </w:r>
          </w:p>
        </w:tc>
        <w:tc>
          <w:tcPr>
            <w:tcW w:type="dxa" w:w="2492"/>
          </w:tcPr>
          <w:p>
            <w:pPr>
              <w:pStyle w:val="null3"/>
            </w:pPr>
            <w:r>
              <w:rPr>
                <w:rFonts w:ascii="仿宋_GB2312" w:hAnsi="仿宋_GB2312" w:cs="仿宋_GB2312" w:eastAsia="仿宋_GB2312"/>
              </w:rPr>
              <w:t>评委根据编制的优劣程度综合评比 , 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磋商方案(4).docx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近三年完成的类似业绩一项得1分 , 最多得3分（提供2022年1月1日 至今类 似工程；投标文件中须附类 似工程业绩中标通知书或合同协议 或竣工验收证 明材料复印件或扫描 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①评标基准价的确定：经评标委员 会对各供应商资格审查合格后，将 有效投 标价格最低的作为评标基准 价，此项得满分；投标报价大于预 算价的，为无 效报价，应作为无效 标处理；最低得分为零分。 ②根据 下列公式计算出各供 应商的投标报 价与评标基准价的差异率。 其他供 应商报价得分=(评标基准 价／投标 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详见附件：磋商方案(4).docx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