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版本号：QCZB-2025-02720250827002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富平县粮油绿色高效提单产项目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QCZB-2025-027</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富平县粮油绿色高效提单产项目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富平县粮油绿色高效提单产项目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全县粮食生产安全，落实关键技术；本项目新建“三主融合”展示田、吨粮村建设、扩种夏闲田、单产提升技术集成展示田及大豆玉米带状复合种植；本项目采购一批水溶肥料及化学农药（具体采购需求详见招标文件）；目标：均衡增产，提升粮油作物单产技术及产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采购包1（富平县粮油绿色高效提单产项目）：属于专门面向中小企业采购。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委托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财务状况：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农药资质要求：供应商为生产制造厂商须具备药品三证（农药登记证、农药生产许可证、产品标准证）复印件加盖公章，供应商为经销代理商须提供有效期内的农药经营许可证及生产制造厂商药品三证（农药登记证、农药生产许可证、产品标准证）复印件加盖制造商单位公章，供应商需在项目电子化交易系统中按要求上传相应证明文件并进行电子签章；</w:t>
      </w:r>
    </w:p>
    <w:p>
      <w:pPr>
        <w:pStyle w:val="null3"/>
      </w:pPr>
      <w:r>
        <w:rPr>
          <w:rFonts w:ascii="仿宋_GB2312" w:hAnsi="仿宋_GB2312" w:cs="仿宋_GB2312" w:eastAsia="仿宋_GB2312"/>
        </w:rPr>
        <w:t>7、企业肥料资质要求：供应商为生产制造厂商的须提供所投产品农业部门批准核发的《肥料登记证》或备案查询截图加盖制造商公章；供应商为代理经销商须提供生产制造厂商农业部门批准核发《肥料登记证》或备案查询截图复印件加盖生产制造厂商单位公章，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中国及中国政府采购网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12、关联关系承诺书：单位负责人为同一人或者存在直接控股、管理关系的不同供应商，不得参加同一合同项下的投标活动；供应商需在项目电子化交易系统中按要求上传相应证明文件并进行电子签章。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朱小辉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18992307305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采购包1：2,427,075.00元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代理服务费收费标准：由中标单位支付本项目代理服务费，代理服务费参照《国家计委关于印发&lt;招标代理服务收费管理暂行办法&gt;的通知》（计价格【2002】1980号）和发改办价格【2003】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（1）所投产品须符合国家标准、行业标准或者其他标准、并满足采购人采购需求。 （2）所有产品质量必须符合国家有关规范和相关政策。质量优良、渠道正当，配置合理。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全县粮食生产安全，落实关键技术；本项目新建“三主融合”展示田、吨粮村建设、扩种夏闲田、单产提升技术集成展示田及大豆玉米带状复合种植；本项目采购一批水溶肥料及化学农药（具体采购需求详见招标文件）；目标：均衡增产，提升粮油作物单产技术及产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2,427,075.00</w:t>
      </w:r>
    </w:p>
    <w:p>
      <w:pPr>
        <w:pStyle w:val="null3"/>
      </w:pPr>
      <w:r>
        <w:rPr>
          <w:rFonts w:ascii="仿宋_GB2312" w:hAnsi="仿宋_GB2312" w:cs="仿宋_GB2312" w:eastAsia="仿宋_GB2312"/>
        </w:rPr>
        <w:t>采购包最高限价（元）: 2,427,075.00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富平县粮油绿色高效提单产项目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2,427,075.00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标的名称：富平县粮油绿色高效提单产项目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center"/>
              <w:outlineLvl w:val="0"/>
            </w:pPr>
            <w:r>
              <w:rPr>
                <w:rFonts w:ascii="仿宋_GB2312" w:hAnsi="仿宋_GB2312" w:cs="仿宋_GB2312" w:eastAsia="仿宋_GB2312"/>
                <w:sz w:val="30"/>
                <w:b/>
              </w:rPr>
              <w:t>招标内容及要求</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w:t>
            </w:r>
            <w:r>
              <w:rPr>
                <w:rFonts w:ascii="仿宋_GB2312" w:hAnsi="仿宋_GB2312" w:cs="仿宋_GB2312" w:eastAsia="仿宋_GB2312"/>
                <w:sz w:val="28"/>
                <w:b/>
              </w:rPr>
              <w:t>基本概况</w:t>
            </w:r>
          </w:p>
          <w:p>
            <w:pPr>
              <w:pStyle w:val="null3"/>
              <w:ind w:firstLine="562"/>
              <w:jc w:val="left"/>
            </w:pPr>
            <w:r>
              <w:rPr>
                <w:rFonts w:ascii="仿宋_GB2312" w:hAnsi="仿宋_GB2312" w:cs="仿宋_GB2312" w:eastAsia="仿宋_GB2312"/>
                <w:sz w:val="28"/>
                <w:b/>
                <w:color w:val="000000"/>
              </w:rPr>
              <w:t>1、项目名称：</w:t>
            </w:r>
            <w:r>
              <w:rPr>
                <w:rFonts w:ascii="仿宋_GB2312" w:hAnsi="仿宋_GB2312" w:cs="仿宋_GB2312" w:eastAsia="仿宋_GB2312"/>
                <w:sz w:val="28"/>
                <w:color w:val="000000"/>
              </w:rPr>
              <w:t>富平县粮油绿色高效提单产项目</w:t>
            </w:r>
          </w:p>
          <w:p>
            <w:pPr>
              <w:pStyle w:val="null3"/>
              <w:ind w:firstLine="562"/>
              <w:jc w:val="left"/>
            </w:pPr>
            <w:r>
              <w:rPr>
                <w:rFonts w:ascii="仿宋_GB2312" w:hAnsi="仿宋_GB2312" w:cs="仿宋_GB2312" w:eastAsia="仿宋_GB2312"/>
                <w:sz w:val="28"/>
                <w:b/>
              </w:rPr>
              <w:t>2、项目背景：</w:t>
            </w:r>
          </w:p>
          <w:p>
            <w:pPr>
              <w:pStyle w:val="null3"/>
              <w:ind w:firstLine="560"/>
              <w:jc w:val="left"/>
            </w:pPr>
            <w:r>
              <w:rPr>
                <w:rFonts w:ascii="仿宋_GB2312" w:hAnsi="仿宋_GB2312" w:cs="仿宋_GB2312" w:eastAsia="仿宋_GB2312"/>
                <w:sz w:val="28"/>
              </w:rPr>
              <w:t>为保障全县粮食生产安全，落实关键技术</w:t>
            </w:r>
            <w:r>
              <w:rPr>
                <w:rFonts w:ascii="仿宋_GB2312" w:hAnsi="仿宋_GB2312" w:cs="仿宋_GB2312" w:eastAsia="仿宋_GB2312"/>
                <w:sz w:val="28"/>
              </w:rPr>
              <w:t>；</w:t>
            </w:r>
            <w:r>
              <w:rPr>
                <w:rFonts w:ascii="仿宋_GB2312" w:hAnsi="仿宋_GB2312" w:cs="仿宋_GB2312" w:eastAsia="仿宋_GB2312"/>
                <w:sz w:val="28"/>
              </w:rPr>
              <w:t>本项目</w:t>
            </w:r>
            <w:r>
              <w:rPr>
                <w:rFonts w:ascii="仿宋_GB2312" w:hAnsi="仿宋_GB2312" w:cs="仿宋_GB2312" w:eastAsia="仿宋_GB2312"/>
                <w:sz w:val="28"/>
              </w:rPr>
              <w:t>新建</w:t>
            </w:r>
            <w:r>
              <w:rPr>
                <w:rFonts w:ascii="仿宋_GB2312" w:hAnsi="仿宋_GB2312" w:cs="仿宋_GB2312" w:eastAsia="仿宋_GB2312"/>
                <w:sz w:val="28"/>
              </w:rPr>
              <w:t>“三主融合”展示田</w:t>
            </w:r>
            <w:r>
              <w:rPr>
                <w:rFonts w:ascii="仿宋_GB2312" w:hAnsi="仿宋_GB2312" w:cs="仿宋_GB2312" w:eastAsia="仿宋_GB2312"/>
                <w:sz w:val="28"/>
              </w:rPr>
              <w:t>、</w:t>
            </w:r>
            <w:r>
              <w:rPr>
                <w:rFonts w:ascii="仿宋_GB2312" w:hAnsi="仿宋_GB2312" w:cs="仿宋_GB2312" w:eastAsia="仿宋_GB2312"/>
                <w:sz w:val="28"/>
              </w:rPr>
              <w:t>吨粮村建设</w:t>
            </w:r>
            <w:r>
              <w:rPr>
                <w:rFonts w:ascii="仿宋_GB2312" w:hAnsi="仿宋_GB2312" w:cs="仿宋_GB2312" w:eastAsia="仿宋_GB2312"/>
                <w:sz w:val="28"/>
              </w:rPr>
              <w:t>、</w:t>
            </w:r>
            <w:r>
              <w:rPr>
                <w:rFonts w:ascii="仿宋_GB2312" w:hAnsi="仿宋_GB2312" w:cs="仿宋_GB2312" w:eastAsia="仿宋_GB2312"/>
                <w:sz w:val="28"/>
              </w:rPr>
              <w:t>扩种夏闲田</w:t>
            </w:r>
            <w:r>
              <w:rPr>
                <w:rFonts w:ascii="仿宋_GB2312" w:hAnsi="仿宋_GB2312" w:cs="仿宋_GB2312" w:eastAsia="仿宋_GB2312"/>
                <w:sz w:val="28"/>
              </w:rPr>
              <w:t>、</w:t>
            </w:r>
            <w:r>
              <w:rPr>
                <w:rFonts w:ascii="仿宋_GB2312" w:hAnsi="仿宋_GB2312" w:cs="仿宋_GB2312" w:eastAsia="仿宋_GB2312"/>
                <w:sz w:val="28"/>
              </w:rPr>
              <w:t>单产提升技术集成展示田及大豆玉米带状复合种植；目标</w:t>
            </w:r>
            <w:r>
              <w:rPr>
                <w:rFonts w:ascii="仿宋_GB2312" w:hAnsi="仿宋_GB2312" w:cs="仿宋_GB2312" w:eastAsia="仿宋_GB2312"/>
                <w:sz w:val="28"/>
              </w:rPr>
              <w:t>:均衡增产</w:t>
            </w:r>
            <w:r>
              <w:rPr>
                <w:rFonts w:ascii="仿宋_GB2312" w:hAnsi="仿宋_GB2312" w:cs="仿宋_GB2312" w:eastAsia="仿宋_GB2312"/>
                <w:sz w:val="28"/>
              </w:rPr>
              <w:t>，</w:t>
            </w:r>
            <w:r>
              <w:rPr>
                <w:rFonts w:ascii="仿宋_GB2312" w:hAnsi="仿宋_GB2312" w:cs="仿宋_GB2312" w:eastAsia="仿宋_GB2312"/>
                <w:sz w:val="28"/>
              </w:rPr>
              <w:t>提升粮油作物单产技术及产能。</w:t>
            </w:r>
          </w:p>
          <w:p>
            <w:pPr>
              <w:pStyle w:val="null3"/>
              <w:ind w:firstLine="562"/>
              <w:jc w:val="left"/>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、项目采购方式：</w:t>
            </w:r>
            <w:r>
              <w:rPr>
                <w:rFonts w:ascii="仿宋_GB2312" w:hAnsi="仿宋_GB2312" w:cs="仿宋_GB2312" w:eastAsia="仿宋_GB2312"/>
                <w:sz w:val="28"/>
                <w:color w:val="000000"/>
              </w:rPr>
              <w:t>公开招标，项目属性为货物类采购。</w:t>
            </w:r>
          </w:p>
          <w:p>
            <w:pPr>
              <w:pStyle w:val="null3"/>
              <w:ind w:firstLine="562"/>
              <w:jc w:val="left"/>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、预算金额：</w:t>
            </w:r>
            <w:r>
              <w:rPr>
                <w:rFonts w:ascii="仿宋_GB2312" w:hAnsi="仿宋_GB2312" w:cs="仿宋_GB2312" w:eastAsia="仿宋_GB2312"/>
                <w:sz w:val="28"/>
                <w:color w:val="000000"/>
              </w:rPr>
              <w:t>2427075</w:t>
            </w:r>
            <w:r>
              <w:rPr>
                <w:rFonts w:ascii="仿宋_GB2312" w:hAnsi="仿宋_GB2312" w:cs="仿宋_GB2312" w:eastAsia="仿宋_GB2312"/>
                <w:sz w:val="28"/>
                <w:color w:val="000000"/>
              </w:rPr>
              <w:t>.00</w:t>
            </w:r>
            <w:r>
              <w:rPr>
                <w:rFonts w:ascii="仿宋_GB2312" w:hAnsi="仿宋_GB2312" w:cs="仿宋_GB2312" w:eastAsia="仿宋_GB2312"/>
                <w:sz w:val="28"/>
                <w:color w:val="000000"/>
              </w:rPr>
              <w:t>元</w:t>
            </w:r>
          </w:p>
          <w:p>
            <w:pPr>
              <w:pStyle w:val="null3"/>
              <w:ind w:firstLine="562"/>
              <w:jc w:val="left"/>
            </w:pPr>
            <w:r>
              <w:rPr>
                <w:rFonts w:ascii="仿宋_GB2312" w:hAnsi="仿宋_GB2312" w:cs="仿宋_GB2312" w:eastAsia="仿宋_GB2312"/>
                <w:sz w:val="28"/>
                <w:b/>
                <w:color w:val="000000"/>
              </w:rPr>
              <w:t>5、最高限价：</w:t>
            </w:r>
            <w:r>
              <w:rPr>
                <w:rFonts w:ascii="仿宋_GB2312" w:hAnsi="仿宋_GB2312" w:cs="仿宋_GB2312" w:eastAsia="仿宋_GB2312"/>
                <w:sz w:val="28"/>
                <w:color w:val="000000"/>
              </w:rPr>
              <w:t>2427075</w:t>
            </w:r>
            <w:r>
              <w:rPr>
                <w:rFonts w:ascii="仿宋_GB2312" w:hAnsi="仿宋_GB2312" w:cs="仿宋_GB2312" w:eastAsia="仿宋_GB2312"/>
                <w:sz w:val="28"/>
                <w:color w:val="000000"/>
              </w:rPr>
              <w:t>.00</w:t>
            </w:r>
            <w:r>
              <w:rPr>
                <w:rFonts w:ascii="仿宋_GB2312" w:hAnsi="仿宋_GB2312" w:cs="仿宋_GB2312" w:eastAsia="仿宋_GB2312"/>
                <w:sz w:val="28"/>
                <w:color w:val="000000"/>
              </w:rPr>
              <w:t>元</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投标人报价大于最高限价的按无效文件处理</w:t>
            </w:r>
            <w:r>
              <w:rPr>
                <w:rFonts w:ascii="仿宋_GB2312" w:hAnsi="仿宋_GB2312" w:cs="仿宋_GB2312" w:eastAsia="仿宋_GB2312"/>
                <w:sz w:val="28"/>
                <w:color w:val="000000"/>
              </w:rPr>
              <w:t>）</w:t>
            </w:r>
          </w:p>
          <w:p>
            <w:pPr>
              <w:pStyle w:val="null3"/>
              <w:spacing w:before="120" w:after="120"/>
              <w:jc w:val="both"/>
              <w:outlineLvl w:val="0"/>
            </w:pPr>
            <w:r>
              <w:rPr>
                <w:rFonts w:ascii="仿宋_GB2312" w:hAnsi="仿宋_GB2312" w:cs="仿宋_GB2312" w:eastAsia="仿宋_GB2312"/>
                <w:sz w:val="28"/>
                <w:b/>
                <w:color w:val="000000"/>
              </w:rPr>
              <w:t>6、</w:t>
            </w:r>
            <w:r>
              <w:rPr>
                <w:rFonts w:ascii="仿宋_GB2312" w:hAnsi="仿宋_GB2312" w:cs="仿宋_GB2312" w:eastAsia="仿宋_GB2312"/>
                <w:sz w:val="28"/>
                <w:b/>
              </w:rPr>
              <w:t>投标报价</w:t>
            </w:r>
            <w:r>
              <w:rPr>
                <w:rFonts w:ascii="仿宋_GB2312" w:hAnsi="仿宋_GB2312" w:cs="仿宋_GB2312" w:eastAsia="仿宋_GB2312"/>
                <w:sz w:val="28"/>
                <w:b/>
              </w:rPr>
              <w:t>:</w:t>
            </w:r>
            <w:r>
              <w:rPr>
                <w:rFonts w:ascii="仿宋_GB2312" w:hAnsi="仿宋_GB2312" w:cs="仿宋_GB2312" w:eastAsia="仿宋_GB2312"/>
                <w:sz w:val="28"/>
                <w:b/>
              </w:rPr>
              <w:t>投标报价为完成本项目全部费用，包括产品费</w:t>
            </w:r>
            <w:r>
              <w:rPr>
                <w:rFonts w:ascii="仿宋_GB2312" w:hAnsi="仿宋_GB2312" w:cs="仿宋_GB2312" w:eastAsia="仿宋_GB2312"/>
                <w:sz w:val="28"/>
                <w:b/>
              </w:rPr>
              <w:t>(含税)、运输费、包装费、验收费、售后服务费、保险费、相关伴随费用等；投标人应已考虑履行本项目的所有市场风险，包括但不限于人力成本的增加和原材料的价格上涨、国家宏观调控、经济环境变化等因素。采购人在上述合同价款之外不再向中标单位支付其他任何费用。</w:t>
            </w:r>
          </w:p>
          <w:p>
            <w:pPr>
              <w:pStyle w:val="null3"/>
              <w:spacing w:after="315"/>
              <w:jc w:val="both"/>
            </w:pPr>
            <w:r>
              <w:rPr>
                <w:rFonts w:ascii="仿宋_GB2312" w:hAnsi="仿宋_GB2312" w:cs="仿宋_GB2312" w:eastAsia="仿宋_GB2312"/>
                <w:sz w:val="28"/>
                <w:b/>
              </w:rPr>
              <w:t>二、技术要求</w:t>
            </w:r>
          </w:p>
          <w:tbl>
            <w:tblPr>
              <w:tblBorders>
                <w:top w:val="none" w:color="000000" w:sz="4"/>
                <w:left w:val="none" w:color="000000" w:sz="4"/>
                <w:bottom w:val="none" w:color="000000" w:sz="4"/>
                <w:right w:val="none" w:color="000000" w:sz="4"/>
                <w:insideH w:val="none"/>
                <w:insideV w:val="none"/>
              </w:tblBorders>
            </w:tblPr>
            <w:tblGrid>
              <w:gridCol w:w="516"/>
              <w:gridCol w:w="402"/>
              <w:gridCol w:w="781"/>
              <w:gridCol w:w="2122"/>
            </w:tblGrid>
            <w:tr>
              <w:tc>
                <w:tcPr>
                  <w:tcW w:type="dxa" w:w="9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28"/>
                      <w:b/>
                    </w:rPr>
                    <w:t>类目</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28"/>
                      <w:b/>
                    </w:rPr>
                    <w:t>数量</w:t>
                  </w:r>
                </w:p>
              </w:tc>
              <w:tc>
                <w:tcPr>
                  <w:tcW w:type="dxa" w:w="2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jc w:val="center"/>
                  </w:pPr>
                  <w:r>
                    <w:rPr>
                      <w:rFonts w:ascii="仿宋_GB2312" w:hAnsi="仿宋_GB2312" w:cs="仿宋_GB2312" w:eastAsia="仿宋_GB2312"/>
                      <w:sz w:val="28"/>
                      <w:b/>
                    </w:rPr>
                    <w:t>质量指标参数</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大量元素水溶肥料</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高氮</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7.18万kg</w:t>
                  </w:r>
                </w:p>
                <w:p>
                  <w:pPr>
                    <w:pStyle w:val="null3"/>
                    <w:jc w:val="both"/>
                  </w:pPr>
                  <w:r>
                    <w:rPr>
                      <w:rFonts w:ascii="仿宋_GB2312" w:hAnsi="仿宋_GB2312" w:cs="仿宋_GB2312" w:eastAsia="仿宋_GB2312"/>
                      <w:sz w:val="28"/>
                      <w:color w:val="993300"/>
                    </w:rPr>
                    <w:t>（</w:t>
                  </w:r>
                  <w:r>
                    <w:rPr>
                      <w:rFonts w:ascii="仿宋_GB2312" w:hAnsi="仿宋_GB2312" w:cs="仿宋_GB2312" w:eastAsia="仿宋_GB2312"/>
                      <w:sz w:val="28"/>
                      <w:color w:val="993300"/>
                    </w:rPr>
                    <w:t>3</w:t>
                  </w:r>
                  <w:r>
                    <w:rPr>
                      <w:rFonts w:ascii="仿宋_GB2312" w:hAnsi="仿宋_GB2312" w:cs="仿宋_GB2312" w:eastAsia="仿宋_GB2312"/>
                      <w:sz w:val="28"/>
                      <w:color w:val="993300"/>
                    </w:rPr>
                    <w:t>公斤</w:t>
                  </w:r>
                  <w:r>
                    <w:rPr>
                      <w:rFonts w:ascii="仿宋_GB2312" w:hAnsi="仿宋_GB2312" w:cs="仿宋_GB2312" w:eastAsia="仿宋_GB2312"/>
                      <w:sz w:val="28"/>
                      <w:color w:val="993300"/>
                    </w:rPr>
                    <w:t>/</w:t>
                  </w:r>
                  <w:r>
                    <w:rPr>
                      <w:rFonts w:ascii="仿宋_GB2312" w:hAnsi="仿宋_GB2312" w:cs="仿宋_GB2312" w:eastAsia="仿宋_GB2312"/>
                      <w:sz w:val="28"/>
                      <w:color w:val="993300"/>
                    </w:rPr>
                    <w:t>袋）</w:t>
                  </w:r>
                </w:p>
              </w:tc>
              <w:tc>
                <w:tcPr>
                  <w:tcW w:type="dxa" w:w="2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执行标准为</w:t>
                  </w:r>
                  <w:r>
                    <w:rPr>
                      <w:rFonts w:ascii="仿宋_GB2312" w:hAnsi="仿宋_GB2312" w:cs="仿宋_GB2312" w:eastAsia="仿宋_GB2312"/>
                      <w:sz w:val="28"/>
                    </w:rPr>
                    <w:t>NY/T1107-2020,总含量N+P</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vertAlign w:val="subscript"/>
                    </w:rPr>
                    <w:t>5</w:t>
                  </w:r>
                  <w:r>
                    <w:rPr>
                      <w:rFonts w:ascii="仿宋_GB2312" w:hAnsi="仿宋_GB2312" w:cs="仿宋_GB2312" w:eastAsia="仿宋_GB2312"/>
                      <w:sz w:val="28"/>
                    </w:rPr>
                    <w:t>+K</w:t>
                  </w:r>
                  <w:r>
                    <w:rPr>
                      <w:rFonts w:ascii="仿宋_GB2312" w:hAnsi="仿宋_GB2312" w:cs="仿宋_GB2312" w:eastAsia="仿宋_GB2312"/>
                      <w:sz w:val="28"/>
                      <w:vertAlign w:val="subscript"/>
                    </w:rPr>
                    <w:t>2</w:t>
                  </w:r>
                  <w:r>
                    <w:rPr>
                      <w:rFonts w:ascii="仿宋_GB2312" w:hAnsi="仿宋_GB2312" w:cs="仿宋_GB2312" w:eastAsia="仿宋_GB2312"/>
                      <w:sz w:val="28"/>
                    </w:rPr>
                    <w:t>0≥50%,水不溶物≤1%,水分≤3%。</w:t>
                  </w:r>
                </w:p>
              </w:tc>
            </w:tr>
            <w:tr>
              <w:tc>
                <w:tcPr>
                  <w:tcW w:type="dxa" w:w="516"/>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高磷</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5.86万kg</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公斤</w:t>
                  </w:r>
                  <w:r>
                    <w:rPr>
                      <w:rFonts w:ascii="仿宋_GB2312" w:hAnsi="仿宋_GB2312" w:cs="仿宋_GB2312" w:eastAsia="仿宋_GB2312"/>
                      <w:sz w:val="28"/>
                    </w:rPr>
                    <w:t>/</w:t>
                  </w:r>
                  <w:r>
                    <w:rPr>
                      <w:rFonts w:ascii="仿宋_GB2312" w:hAnsi="仿宋_GB2312" w:cs="仿宋_GB2312" w:eastAsia="仿宋_GB2312"/>
                      <w:sz w:val="28"/>
                    </w:rPr>
                    <w:t>袋）</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执行标准为</w:t>
                  </w:r>
                  <w:r>
                    <w:rPr>
                      <w:rFonts w:ascii="仿宋_GB2312" w:hAnsi="仿宋_GB2312" w:cs="仿宋_GB2312" w:eastAsia="仿宋_GB2312"/>
                      <w:sz w:val="28"/>
                    </w:rPr>
                    <w:t>NY/T1107-2020,总含量N+P</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vertAlign w:val="subscript"/>
                    </w:rPr>
                    <w:t>5</w:t>
                  </w:r>
                  <w:r>
                    <w:rPr>
                      <w:rFonts w:ascii="仿宋_GB2312" w:hAnsi="仿宋_GB2312" w:cs="仿宋_GB2312" w:eastAsia="仿宋_GB2312"/>
                      <w:sz w:val="28"/>
                    </w:rPr>
                    <w:t>+K</w:t>
                  </w:r>
                  <w:r>
                    <w:rPr>
                      <w:rFonts w:ascii="仿宋_GB2312" w:hAnsi="仿宋_GB2312" w:cs="仿宋_GB2312" w:eastAsia="仿宋_GB2312"/>
                      <w:sz w:val="28"/>
                      <w:vertAlign w:val="subscript"/>
                    </w:rPr>
                    <w:t>2</w:t>
                  </w:r>
                  <w:r>
                    <w:rPr>
                      <w:rFonts w:ascii="仿宋_GB2312" w:hAnsi="仿宋_GB2312" w:cs="仿宋_GB2312" w:eastAsia="仿宋_GB2312"/>
                      <w:sz w:val="28"/>
                    </w:rPr>
                    <w:t>0≥50%,水不溶物≤1%,水分≤3%。</w:t>
                  </w:r>
                </w:p>
              </w:tc>
            </w:tr>
            <w:tr>
              <w:tc>
                <w:tcPr>
                  <w:tcW w:type="dxa" w:w="9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有机水溶肥料</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0.005万kg</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2.5公斤/桶）</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有机质含量</w:t>
                  </w:r>
                  <w:r>
                    <w:rPr>
                      <w:rFonts w:ascii="仿宋_GB2312" w:hAnsi="仿宋_GB2312" w:cs="仿宋_GB2312" w:eastAsia="仿宋_GB2312"/>
                      <w:sz w:val="28"/>
                    </w:rPr>
                    <w:t>≥350g/L,K</w:t>
                  </w:r>
                  <w:r>
                    <w:rPr>
                      <w:rFonts w:ascii="仿宋_GB2312" w:hAnsi="仿宋_GB2312" w:cs="仿宋_GB2312" w:eastAsia="仿宋_GB2312"/>
                      <w:sz w:val="28"/>
                      <w:vertAlign w:val="subscript"/>
                    </w:rPr>
                    <w:t>2</w:t>
                  </w:r>
                  <w:r>
                    <w:rPr>
                      <w:rFonts w:ascii="仿宋_GB2312" w:hAnsi="仿宋_GB2312" w:cs="仿宋_GB2312" w:eastAsia="仿宋_GB2312"/>
                      <w:sz w:val="28"/>
                    </w:rPr>
                    <w:t>0≥200g/L,水不溶物≤20g/L。</w:t>
                  </w:r>
                </w:p>
              </w:tc>
            </w:tr>
            <w:tr>
              <w:tc>
                <w:tcPr>
                  <w:tcW w:type="dxa" w:w="9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rFonts w:ascii="仿宋_GB2312" w:hAnsi="仿宋_GB2312" w:cs="仿宋_GB2312" w:eastAsia="仿宋_GB2312"/>
                      <w:sz w:val="28"/>
                    </w:rPr>
                    <w:t>含氨基酸水溶肥料</w:t>
                  </w:r>
                  <w:r>
                    <w:rPr>
                      <w:rFonts w:ascii="仿宋_GB2312" w:hAnsi="仿宋_GB2312" w:cs="仿宋_GB2312" w:eastAsia="仿宋_GB2312"/>
                      <w:sz w:val="28"/>
                    </w:rPr>
                    <w:t>(微量元素型)</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8"/>
                    </w:rPr>
                    <w:t>0.476万kg</w:t>
                  </w:r>
                </w:p>
                <w:p>
                  <w:pPr>
                    <w:pStyle w:val="null3"/>
                    <w:spacing w:before="75"/>
                    <w:jc w:val="center"/>
                  </w:pPr>
                  <w:r>
                    <w:rPr>
                      <w:rFonts w:ascii="仿宋_GB2312" w:hAnsi="仿宋_GB2312" w:cs="仿宋_GB2312" w:eastAsia="仿宋_GB2312"/>
                      <w:sz w:val="28"/>
                    </w:rPr>
                    <w:t>（</w:t>
                  </w:r>
                  <w:r>
                    <w:rPr>
                      <w:rFonts w:ascii="仿宋_GB2312" w:hAnsi="仿宋_GB2312" w:cs="仿宋_GB2312" w:eastAsia="仿宋_GB2312"/>
                      <w:sz w:val="28"/>
                    </w:rPr>
                    <w:t>200克/瓶）</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left"/>
                  </w:pPr>
                  <w:r>
                    <w:rPr>
                      <w:rFonts w:ascii="仿宋_GB2312" w:hAnsi="仿宋_GB2312" w:cs="仿宋_GB2312" w:eastAsia="仿宋_GB2312"/>
                      <w:sz w:val="28"/>
                    </w:rPr>
                    <w:t>执行标准为</w:t>
                  </w:r>
                  <w:r>
                    <w:rPr>
                      <w:rFonts w:ascii="仿宋_GB2312" w:hAnsi="仿宋_GB2312" w:cs="仿宋_GB2312" w:eastAsia="仿宋_GB2312"/>
                      <w:sz w:val="28"/>
                    </w:rPr>
                    <w:t>NY1429-2010,氨基酸含量≥100g/L,微量元素含量≥20g/L。</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“一喷三防”物资</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杀虫剂</w:t>
                  </w:r>
                </w:p>
              </w:tc>
              <w:tc>
                <w:tcPr>
                  <w:tcW w:type="dxa" w:w="7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2.58万亩</w:t>
                  </w:r>
                </w:p>
              </w:tc>
              <w:tc>
                <w:tcPr>
                  <w:tcW w:type="dxa" w:w="2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在作物上使用安全，能有效防治蚜虫、红蜘蛛、吸浆虫等害虫的单剂或复配制剂。使用剂量按农业部登记药剂推荐剂量。</w:t>
                  </w:r>
                </w:p>
              </w:tc>
            </w:tr>
            <w:tr>
              <w:tc>
                <w:tcPr>
                  <w:tcW w:type="dxa" w:w="516"/>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杀菌剂</w:t>
                  </w:r>
                </w:p>
              </w:tc>
              <w:tc>
                <w:tcPr>
                  <w:tcW w:type="dxa" w:w="781"/>
                  <w:vMerge/>
                  <w:tcBorders>
                    <w:top w:val="none" w:color="000000" w:sz="4"/>
                    <w:left w:val="single" w:color="000000" w:sz="4"/>
                    <w:bottom w:val="single" w:color="000000" w:sz="4"/>
                    <w:right w:val="single" w:color="000000" w:sz="4"/>
                  </w:tcBorders>
                </w:tcP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在作物上使用安全，能有效防治小麦赤霉病、锈病等病害的单剂或复配制剂。使用剂量按农业部登记药剂推荐剂量。</w:t>
                  </w:r>
                </w:p>
              </w:tc>
            </w:tr>
            <w:tr>
              <w:tc>
                <w:tcPr>
                  <w:tcW w:type="dxa" w:w="516"/>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水溶</w:t>
                  </w:r>
                </w:p>
                <w:p>
                  <w:pPr>
                    <w:pStyle w:val="null3"/>
                    <w:jc w:val="center"/>
                  </w:pPr>
                  <w:r>
                    <w:rPr>
                      <w:rFonts w:ascii="仿宋_GB2312" w:hAnsi="仿宋_GB2312" w:cs="仿宋_GB2312" w:eastAsia="仿宋_GB2312"/>
                      <w:sz w:val="28"/>
                    </w:rPr>
                    <w:t>肥料</w:t>
                  </w:r>
                </w:p>
              </w:tc>
              <w:tc>
                <w:tcPr>
                  <w:tcW w:type="dxa" w:w="781"/>
                  <w:vMerge/>
                  <w:tcBorders>
                    <w:top w:val="none" w:color="000000" w:sz="4"/>
                    <w:left w:val="single" w:color="000000" w:sz="4"/>
                    <w:bottom w:val="single" w:color="000000" w:sz="4"/>
                    <w:right w:val="single" w:color="000000" w:sz="4"/>
                  </w:tcBorders>
                </w:tcP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在作物上使用安全、含氨基酸水溶肥料，有效成分</w:t>
                  </w:r>
                  <w:r>
                    <w:rPr>
                      <w:rFonts w:ascii="仿宋_GB2312" w:hAnsi="仿宋_GB2312" w:cs="仿宋_GB2312" w:eastAsia="仿宋_GB2312"/>
                      <w:sz w:val="28"/>
                    </w:rPr>
                    <w:t>≥100g/L。亩用量50克。</w:t>
                  </w:r>
                </w:p>
              </w:tc>
            </w:tr>
            <w:tr>
              <w:tc>
                <w:tcPr>
                  <w:tcW w:type="dxa" w:w="9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茎基腐防治药剂</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0.056万亩</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在作物上使用安全，对小麦茎基腐防治效果明显的药剂。使用剂量按农业部登记药剂推荐剂量。</w:t>
                  </w:r>
                </w:p>
              </w:tc>
            </w:tr>
            <w:tr>
              <w:tc>
                <w:tcPr>
                  <w:tcW w:type="dxa" w:w="9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小麦播种底肥</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200袋</w:t>
                  </w:r>
                </w:p>
                <w:p>
                  <w:pPr>
                    <w:pStyle w:val="null3"/>
                    <w:jc w:val="center"/>
                  </w:pPr>
                  <w:r>
                    <w:rPr>
                      <w:rFonts w:ascii="仿宋_GB2312" w:hAnsi="仿宋_GB2312" w:cs="仿宋_GB2312" w:eastAsia="仿宋_GB2312"/>
                      <w:sz w:val="28"/>
                    </w:rPr>
                    <w:t>(50公斤/袋)</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执行标准为</w:t>
                  </w:r>
                  <w:r>
                    <w:rPr>
                      <w:rFonts w:ascii="仿宋_GB2312" w:hAnsi="仿宋_GB2312" w:cs="仿宋_GB2312" w:eastAsia="仿宋_GB2312"/>
                      <w:sz w:val="28"/>
                    </w:rPr>
                    <w:t>GB/T15063-2020,总含量N+P</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vertAlign w:val="subscript"/>
                    </w:rPr>
                    <w:t>5</w:t>
                  </w:r>
                  <w:r>
                    <w:rPr>
                      <w:rFonts w:ascii="仿宋_GB2312" w:hAnsi="仿宋_GB2312" w:cs="仿宋_GB2312" w:eastAsia="仿宋_GB2312"/>
                      <w:sz w:val="28"/>
                    </w:rPr>
                    <w:t>+K</w:t>
                  </w:r>
                  <w:r>
                    <w:rPr>
                      <w:rFonts w:ascii="仿宋_GB2312" w:hAnsi="仿宋_GB2312" w:cs="仿宋_GB2312" w:eastAsia="仿宋_GB2312"/>
                      <w:sz w:val="28"/>
                      <w:vertAlign w:val="subscript"/>
                    </w:rPr>
                    <w:t>2</w:t>
                  </w:r>
                  <w:r>
                    <w:rPr>
                      <w:rFonts w:ascii="仿宋_GB2312" w:hAnsi="仿宋_GB2312" w:cs="仿宋_GB2312" w:eastAsia="仿宋_GB2312"/>
                      <w:sz w:val="28"/>
                    </w:rPr>
                    <w:t>0≥40%。</w:t>
                  </w:r>
                </w:p>
              </w:tc>
            </w:tr>
          </w:tbl>
          <w:p>
            <w:pPr>
              <w:pStyle w:val="null3"/>
              <w:jc w:val="both"/>
            </w:pPr>
            <w:r>
              <w:rPr>
                <w:rFonts w:ascii="仿宋_GB2312" w:hAnsi="仿宋_GB2312" w:cs="仿宋_GB2312" w:eastAsia="仿宋_GB2312"/>
                <w:sz w:val="28"/>
                <w:b/>
              </w:rPr>
              <w:t>三、商务服务要求</w:t>
            </w:r>
          </w:p>
          <w:p>
            <w:pPr>
              <w:pStyle w:val="null3"/>
              <w:ind w:firstLine="551"/>
              <w:jc w:val="both"/>
            </w:pPr>
            <w:r>
              <w:rPr>
                <w:rFonts w:ascii="仿宋_GB2312" w:hAnsi="仿宋_GB2312" w:cs="仿宋_GB2312" w:eastAsia="仿宋_GB2312"/>
                <w:sz w:val="28"/>
                <w:b/>
              </w:rPr>
              <w:t>1</w:t>
            </w:r>
            <w:r>
              <w:rPr>
                <w:rFonts w:ascii="仿宋_GB2312" w:hAnsi="仿宋_GB2312" w:cs="仿宋_GB2312" w:eastAsia="仿宋_GB2312"/>
                <w:sz w:val="28"/>
                <w:b/>
              </w:rPr>
              <w:t>、交货期：</w:t>
            </w:r>
            <w:r>
              <w:rPr>
                <w:rFonts w:ascii="仿宋_GB2312" w:hAnsi="仿宋_GB2312" w:cs="仿宋_GB2312" w:eastAsia="仿宋_GB2312"/>
                <w:sz w:val="28"/>
              </w:rPr>
              <w:t>大量元素水溶肥料（高氮）及含氨基酸水溶肥料在合同签订之日起</w:t>
            </w:r>
            <w:r>
              <w:rPr>
                <w:rFonts w:ascii="仿宋_GB2312" w:hAnsi="仿宋_GB2312" w:cs="仿宋_GB2312" w:eastAsia="仿宋_GB2312"/>
                <w:sz w:val="28"/>
              </w:rPr>
              <w:t>5日内完成供货；大量元素水溶肥料（高磷）、有机水溶肥料、“一喷三防”物资、茎基腐防治药剂及小麦播种底肥在作物生产季待甲方通知后5日内完成供货。</w:t>
            </w:r>
          </w:p>
          <w:p>
            <w:pPr>
              <w:pStyle w:val="null3"/>
              <w:ind w:firstLine="551"/>
              <w:jc w:val="both"/>
            </w:pPr>
            <w:r>
              <w:rPr>
                <w:rFonts w:ascii="仿宋_GB2312" w:hAnsi="仿宋_GB2312" w:cs="仿宋_GB2312" w:eastAsia="仿宋_GB2312"/>
                <w:sz w:val="28"/>
                <w:b/>
              </w:rPr>
              <w:t>2</w:t>
            </w:r>
            <w:r>
              <w:rPr>
                <w:rFonts w:ascii="仿宋_GB2312" w:hAnsi="仿宋_GB2312" w:cs="仿宋_GB2312" w:eastAsia="仿宋_GB2312"/>
                <w:sz w:val="28"/>
                <w:b/>
              </w:rPr>
              <w:t>、付款方式：</w:t>
            </w:r>
            <w:r>
              <w:rPr>
                <w:rFonts w:ascii="仿宋_GB2312" w:hAnsi="仿宋_GB2312" w:cs="仿宋_GB2312" w:eastAsia="仿宋_GB2312"/>
                <w:sz w:val="28"/>
              </w:rPr>
              <w:t>银行转账，待所有产品供货完成并经采购单位</w:t>
            </w:r>
            <w:r>
              <w:rPr>
                <w:rFonts w:ascii="仿宋_GB2312" w:hAnsi="仿宋_GB2312" w:cs="仿宋_GB2312" w:eastAsia="仿宋_GB2312"/>
                <w:sz w:val="28"/>
              </w:rPr>
              <w:t>验收合格后</w:t>
            </w:r>
            <w:r>
              <w:rPr>
                <w:rFonts w:ascii="仿宋_GB2312" w:hAnsi="仿宋_GB2312" w:cs="仿宋_GB2312" w:eastAsia="仿宋_GB2312"/>
                <w:sz w:val="28"/>
              </w:rPr>
              <w:t>一次性</w:t>
            </w:r>
            <w:r>
              <w:rPr>
                <w:rFonts w:ascii="仿宋_GB2312" w:hAnsi="仿宋_GB2312" w:cs="仿宋_GB2312" w:eastAsia="仿宋_GB2312"/>
                <w:sz w:val="28"/>
              </w:rPr>
              <w:t>付清所有款项</w:t>
            </w:r>
            <w:r>
              <w:rPr>
                <w:rFonts w:ascii="仿宋_GB2312" w:hAnsi="仿宋_GB2312" w:cs="仿宋_GB2312" w:eastAsia="仿宋_GB2312"/>
                <w:sz w:val="28"/>
              </w:rPr>
              <w:t>；</w:t>
            </w:r>
            <w:r>
              <w:rPr>
                <w:rFonts w:ascii="仿宋_GB2312" w:hAnsi="仿宋_GB2312" w:cs="仿宋_GB2312" w:eastAsia="仿宋_GB2312"/>
                <w:sz w:val="28"/>
              </w:rPr>
              <w:t>采购单位</w:t>
            </w:r>
            <w:r>
              <w:rPr>
                <w:rFonts w:ascii="仿宋_GB2312" w:hAnsi="仿宋_GB2312" w:cs="仿宋_GB2312" w:eastAsia="仿宋_GB2312"/>
                <w:sz w:val="28"/>
              </w:rPr>
              <w:t>付款前，</w:t>
            </w:r>
            <w:r>
              <w:rPr>
                <w:rFonts w:ascii="仿宋_GB2312" w:hAnsi="仿宋_GB2312" w:cs="仿宋_GB2312" w:eastAsia="仿宋_GB2312"/>
                <w:sz w:val="28"/>
              </w:rPr>
              <w:t>中标单位</w:t>
            </w:r>
            <w:r>
              <w:rPr>
                <w:rFonts w:ascii="仿宋_GB2312" w:hAnsi="仿宋_GB2312" w:cs="仿宋_GB2312" w:eastAsia="仿宋_GB2312"/>
                <w:sz w:val="28"/>
              </w:rPr>
              <w:t>需开具合规合法的增值税发票</w:t>
            </w:r>
            <w:r>
              <w:rPr>
                <w:rFonts w:ascii="仿宋_GB2312" w:hAnsi="仿宋_GB2312" w:cs="仿宋_GB2312" w:eastAsia="仿宋_GB2312"/>
                <w:sz w:val="28"/>
                <w:b/>
              </w:rPr>
              <w:t>（</w:t>
            </w:r>
            <w:r>
              <w:rPr>
                <w:rFonts w:ascii="仿宋_GB2312" w:hAnsi="仿宋_GB2312" w:cs="仿宋_GB2312" w:eastAsia="仿宋_GB2312"/>
                <w:sz w:val="28"/>
                <w:b/>
              </w:rPr>
              <w:t>注：本项目费用由财政拨付，如因不可抗力、政府原因或政策影响等因素导致款项未能按合同约定时效、比例支付的，甲方不承担违约责任，乙方不得以此为由拒绝履行合同约定的责任和义务</w:t>
            </w:r>
            <w:r>
              <w:rPr>
                <w:rFonts w:ascii="仿宋_GB2312" w:hAnsi="仿宋_GB2312" w:cs="仿宋_GB2312" w:eastAsia="仿宋_GB2312"/>
                <w:sz w:val="28"/>
                <w:b/>
              </w:rPr>
              <w:t>）。</w:t>
            </w:r>
          </w:p>
          <w:p>
            <w:pPr>
              <w:pStyle w:val="null3"/>
              <w:ind w:firstLine="551"/>
              <w:jc w:val="both"/>
            </w:pPr>
            <w:r>
              <w:rPr>
                <w:rFonts w:ascii="仿宋_GB2312" w:hAnsi="仿宋_GB2312" w:cs="仿宋_GB2312" w:eastAsia="仿宋_GB2312"/>
                <w:sz w:val="28"/>
                <w:b/>
              </w:rPr>
              <w:t>3</w:t>
            </w:r>
            <w:r>
              <w:rPr>
                <w:rFonts w:ascii="仿宋_GB2312" w:hAnsi="仿宋_GB2312" w:cs="仿宋_GB2312" w:eastAsia="仿宋_GB2312"/>
                <w:sz w:val="28"/>
                <w:b/>
              </w:rPr>
              <w:t>、保质期：</w:t>
            </w:r>
            <w:r>
              <w:rPr>
                <w:rFonts w:ascii="仿宋_GB2312" w:hAnsi="仿宋_GB2312" w:cs="仿宋_GB2312" w:eastAsia="仿宋_GB2312"/>
                <w:sz w:val="28"/>
              </w:rPr>
              <w:t>1年</w:t>
            </w:r>
            <w:r>
              <w:rPr>
                <w:rFonts w:ascii="仿宋_GB2312" w:hAnsi="仿宋_GB2312" w:cs="仿宋_GB2312" w:eastAsia="仿宋_GB2312"/>
                <w:sz w:val="28"/>
              </w:rPr>
              <w:t>（</w:t>
            </w:r>
            <w:r>
              <w:rPr>
                <w:rFonts w:ascii="仿宋_GB2312" w:hAnsi="仿宋_GB2312" w:cs="仿宋_GB2312" w:eastAsia="仿宋_GB2312"/>
                <w:sz w:val="28"/>
              </w:rPr>
              <w:t>自交货验收合格之日起计</w:t>
            </w:r>
            <w:r>
              <w:rPr>
                <w:rFonts w:ascii="仿宋_GB2312" w:hAnsi="仿宋_GB2312" w:cs="仿宋_GB2312" w:eastAsia="仿宋_GB2312"/>
                <w:sz w:val="28"/>
              </w:rPr>
              <w:t>算</w:t>
            </w:r>
            <w:r>
              <w:rPr>
                <w:rFonts w:ascii="仿宋_GB2312" w:hAnsi="仿宋_GB2312" w:cs="仿宋_GB2312" w:eastAsia="仿宋_GB2312"/>
                <w:sz w:val="28"/>
              </w:rPr>
              <w:t>，质保期内，应提供免除一切费用的售后服务</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2"/>
              <w:jc w:val="left"/>
            </w:pPr>
            <w:r>
              <w:rPr>
                <w:rFonts w:ascii="仿宋_GB2312" w:hAnsi="仿宋_GB2312" w:cs="仿宋_GB2312" w:eastAsia="仿宋_GB2312"/>
                <w:sz w:val="28"/>
                <w:b/>
              </w:rPr>
              <w:t>4</w:t>
            </w:r>
            <w:r>
              <w:rPr>
                <w:rFonts w:ascii="仿宋_GB2312" w:hAnsi="仿宋_GB2312" w:cs="仿宋_GB2312" w:eastAsia="仿宋_GB2312"/>
                <w:sz w:val="28"/>
                <w:b/>
              </w:rPr>
              <w:t>、供货地点：</w:t>
            </w:r>
            <w:r>
              <w:rPr>
                <w:rFonts w:ascii="仿宋_GB2312" w:hAnsi="仿宋_GB2312" w:cs="仿宋_GB2312" w:eastAsia="仿宋_GB2312"/>
                <w:sz w:val="28"/>
              </w:rPr>
              <w:t>渭南市富平县（具体地点以采购人指定地点为准）。</w:t>
            </w:r>
          </w:p>
          <w:p>
            <w:pPr>
              <w:pStyle w:val="null3"/>
              <w:ind w:firstLine="562"/>
              <w:jc w:val="left"/>
            </w:pPr>
            <w:r>
              <w:rPr>
                <w:rFonts w:ascii="仿宋_GB2312" w:hAnsi="仿宋_GB2312" w:cs="仿宋_GB2312" w:eastAsia="仿宋_GB2312"/>
                <w:sz w:val="28"/>
                <w:b/>
              </w:rPr>
              <w:t>5、产品质量标准：</w:t>
            </w:r>
          </w:p>
          <w:p>
            <w:pPr>
              <w:pStyle w:val="null3"/>
              <w:ind w:firstLine="560"/>
              <w:jc w:val="left"/>
            </w:pPr>
            <w:r>
              <w:rPr>
                <w:rFonts w:ascii="仿宋_GB2312" w:hAnsi="仿宋_GB2312" w:cs="仿宋_GB2312" w:eastAsia="仿宋_GB2312"/>
                <w:sz w:val="28"/>
              </w:rPr>
              <w:t>5.1所投产品须符合国家标准、行业标准或者其他标准、并满足采购人采购需求</w:t>
            </w:r>
            <w:r>
              <w:rPr>
                <w:rFonts w:ascii="仿宋_GB2312" w:hAnsi="仿宋_GB2312" w:cs="仿宋_GB2312" w:eastAsia="仿宋_GB2312"/>
                <w:sz w:val="28"/>
                <w:color w:val="000000"/>
              </w:rPr>
              <w:t>。</w:t>
            </w:r>
          </w:p>
          <w:p>
            <w:pPr>
              <w:pStyle w:val="null3"/>
              <w:ind w:firstLine="548"/>
              <w:jc w:val="both"/>
            </w:pPr>
            <w:r>
              <w:rPr>
                <w:rFonts w:ascii="仿宋_GB2312" w:hAnsi="仿宋_GB2312" w:cs="仿宋_GB2312" w:eastAsia="仿宋_GB2312"/>
                <w:sz w:val="28"/>
              </w:rPr>
              <w:t>5</w:t>
            </w:r>
            <w:r>
              <w:rPr>
                <w:rFonts w:ascii="仿宋_GB2312" w:hAnsi="仿宋_GB2312" w:cs="仿宋_GB2312" w:eastAsia="仿宋_GB2312"/>
                <w:sz w:val="28"/>
              </w:rPr>
              <w:t>.2 所有</w:t>
            </w:r>
            <w:r>
              <w:rPr>
                <w:rFonts w:ascii="仿宋_GB2312" w:hAnsi="仿宋_GB2312" w:cs="仿宋_GB2312" w:eastAsia="仿宋_GB2312"/>
                <w:sz w:val="28"/>
              </w:rPr>
              <w:t>产品</w:t>
            </w:r>
            <w:r>
              <w:rPr>
                <w:rFonts w:ascii="仿宋_GB2312" w:hAnsi="仿宋_GB2312" w:cs="仿宋_GB2312" w:eastAsia="仿宋_GB2312"/>
                <w:sz w:val="28"/>
              </w:rPr>
              <w:t>质量必须符合国家有关规范和相关政策。质量优良、渠道正当，配置合理。</w:t>
            </w:r>
            <w:r>
              <w:rPr>
                <w:rFonts w:ascii="仿宋_GB2312" w:hAnsi="仿宋_GB2312" w:cs="仿宋_GB2312" w:eastAsia="仿宋_GB2312"/>
                <w:sz w:val="28"/>
              </w:rPr>
              <w:t xml:space="preserve">                                  </w:t>
            </w:r>
          </w:p>
          <w:p>
            <w:pPr>
              <w:pStyle w:val="null3"/>
              <w:ind w:firstLine="548"/>
              <w:jc w:val="both"/>
            </w:pPr>
            <w:r>
              <w:rPr>
                <w:rFonts w:ascii="仿宋_GB2312" w:hAnsi="仿宋_GB2312" w:cs="仿宋_GB2312" w:eastAsia="仿宋_GB2312"/>
                <w:sz w:val="28"/>
              </w:rPr>
              <w:t>5</w:t>
            </w:r>
            <w:r>
              <w:rPr>
                <w:rFonts w:ascii="仿宋_GB2312" w:hAnsi="仿宋_GB2312" w:cs="仿宋_GB2312" w:eastAsia="仿宋_GB2312"/>
                <w:sz w:val="28"/>
              </w:rPr>
              <w:t>.3 质保期出现的质量问题由成交</w:t>
            </w:r>
            <w:r>
              <w:rPr>
                <w:rFonts w:ascii="仿宋_GB2312" w:hAnsi="仿宋_GB2312" w:cs="仿宋_GB2312" w:eastAsia="仿宋_GB2312"/>
                <w:sz w:val="28"/>
              </w:rPr>
              <w:t>投标人</w:t>
            </w:r>
            <w:r>
              <w:rPr>
                <w:rFonts w:ascii="仿宋_GB2312" w:hAnsi="仿宋_GB2312" w:cs="仿宋_GB2312" w:eastAsia="仿宋_GB2312"/>
                <w:sz w:val="28"/>
              </w:rPr>
              <w:t>负责解决并承担所有费用。</w:t>
            </w:r>
          </w:p>
          <w:p>
            <w:pPr>
              <w:pStyle w:val="null3"/>
              <w:ind w:firstLine="562"/>
              <w:jc w:val="both"/>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产品</w:t>
            </w:r>
            <w:r>
              <w:rPr>
                <w:rFonts w:ascii="仿宋_GB2312" w:hAnsi="仿宋_GB2312" w:cs="仿宋_GB2312" w:eastAsia="仿宋_GB2312"/>
                <w:sz w:val="28"/>
                <w:b/>
                <w:color w:val="000000"/>
              </w:rPr>
              <w:t>的验收：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6</w:t>
            </w:r>
            <w:r>
              <w:rPr>
                <w:rFonts w:ascii="仿宋_GB2312" w:hAnsi="仿宋_GB2312" w:cs="仿宋_GB2312" w:eastAsia="仿宋_GB2312"/>
                <w:sz w:val="28"/>
              </w:rPr>
              <w:t>.1</w:t>
            </w:r>
            <w:r>
              <w:rPr>
                <w:rFonts w:ascii="仿宋_GB2312" w:hAnsi="仿宋_GB2312" w:cs="仿宋_GB2312" w:eastAsia="仿宋_GB2312"/>
                <w:sz w:val="28"/>
              </w:rPr>
              <w:t>产品</w:t>
            </w:r>
            <w:r>
              <w:rPr>
                <w:rFonts w:ascii="仿宋_GB2312" w:hAnsi="仿宋_GB2312" w:cs="仿宋_GB2312" w:eastAsia="仿宋_GB2312"/>
                <w:sz w:val="28"/>
              </w:rPr>
              <w:t>到达交货地点后，由使用单位根据合同对</w:t>
            </w:r>
            <w:r>
              <w:rPr>
                <w:rFonts w:ascii="仿宋_GB2312" w:hAnsi="仿宋_GB2312" w:cs="仿宋_GB2312" w:eastAsia="仿宋_GB2312"/>
                <w:sz w:val="28"/>
              </w:rPr>
              <w:t>产品</w:t>
            </w:r>
            <w:r>
              <w:rPr>
                <w:rFonts w:ascii="仿宋_GB2312" w:hAnsi="仿宋_GB2312" w:cs="仿宋_GB2312" w:eastAsia="仿宋_GB2312"/>
                <w:sz w:val="28"/>
              </w:rPr>
              <w:t>的名称、品牌、规格、型号、产地、数量等进行检查。</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.2验收不合格的</w:t>
            </w:r>
            <w:r>
              <w:rPr>
                <w:rFonts w:ascii="仿宋_GB2312" w:hAnsi="仿宋_GB2312" w:cs="仿宋_GB2312" w:eastAsia="仿宋_GB2312"/>
                <w:sz w:val="28"/>
              </w:rPr>
              <w:t>产品</w:t>
            </w:r>
            <w:r>
              <w:rPr>
                <w:rFonts w:ascii="仿宋_GB2312" w:hAnsi="仿宋_GB2312" w:cs="仿宋_GB2312" w:eastAsia="仿宋_GB2312"/>
                <w:sz w:val="28"/>
              </w:rPr>
              <w:t>，</w:t>
            </w:r>
            <w:r>
              <w:rPr>
                <w:rFonts w:ascii="仿宋_GB2312" w:hAnsi="仿宋_GB2312" w:cs="仿宋_GB2312" w:eastAsia="仿宋_GB2312"/>
                <w:sz w:val="28"/>
              </w:rPr>
              <w:t>中标</w:t>
            </w:r>
            <w:r>
              <w:rPr>
                <w:rFonts w:ascii="仿宋_GB2312" w:hAnsi="仿宋_GB2312" w:cs="仿宋_GB2312" w:eastAsia="仿宋_GB2312"/>
                <w:sz w:val="28"/>
              </w:rPr>
              <w:t>必须在接到通知后</w:t>
            </w:r>
            <w:r>
              <w:rPr>
                <w:rFonts w:ascii="仿宋_GB2312" w:hAnsi="仿宋_GB2312" w:cs="仿宋_GB2312" w:eastAsia="仿宋_GB2312"/>
                <w:sz w:val="28"/>
              </w:rPr>
              <w:t>5</w:t>
            </w:r>
            <w:r>
              <w:rPr>
                <w:rFonts w:ascii="仿宋_GB2312" w:hAnsi="仿宋_GB2312" w:cs="仿宋_GB2312" w:eastAsia="仿宋_GB2312"/>
                <w:sz w:val="28"/>
              </w:rPr>
              <w:t>个</w:t>
            </w:r>
            <w:r>
              <w:rPr>
                <w:rFonts w:ascii="仿宋_GB2312" w:hAnsi="仿宋_GB2312" w:cs="仿宋_GB2312" w:eastAsia="仿宋_GB2312"/>
                <w:sz w:val="28"/>
              </w:rPr>
              <w:t>工作日</w:t>
            </w:r>
            <w:r>
              <w:rPr>
                <w:rFonts w:ascii="仿宋_GB2312" w:hAnsi="仿宋_GB2312" w:cs="仿宋_GB2312" w:eastAsia="仿宋_GB2312"/>
                <w:sz w:val="28"/>
              </w:rPr>
              <w:t>内确保</w:t>
            </w:r>
            <w:r>
              <w:rPr>
                <w:rFonts w:ascii="仿宋_GB2312" w:hAnsi="仿宋_GB2312" w:cs="仿宋_GB2312" w:eastAsia="仿宋_GB2312"/>
                <w:sz w:val="28"/>
              </w:rPr>
              <w:t>产品</w:t>
            </w:r>
            <w:r>
              <w:rPr>
                <w:rFonts w:ascii="仿宋_GB2312" w:hAnsi="仿宋_GB2312" w:cs="仿宋_GB2312" w:eastAsia="仿宋_GB2312"/>
                <w:sz w:val="28"/>
              </w:rPr>
              <w:t>通过验收。若接到通知后</w:t>
            </w:r>
            <w:r>
              <w:rPr>
                <w:rFonts w:ascii="仿宋_GB2312" w:hAnsi="仿宋_GB2312" w:cs="仿宋_GB2312" w:eastAsia="仿宋_GB2312"/>
                <w:sz w:val="28"/>
              </w:rPr>
              <w:t>5</w:t>
            </w:r>
            <w:r>
              <w:rPr>
                <w:rFonts w:ascii="仿宋_GB2312" w:hAnsi="仿宋_GB2312" w:cs="仿宋_GB2312" w:eastAsia="仿宋_GB2312"/>
                <w:sz w:val="28"/>
              </w:rPr>
              <w:t>个</w:t>
            </w:r>
            <w:r>
              <w:rPr>
                <w:rFonts w:ascii="仿宋_GB2312" w:hAnsi="仿宋_GB2312" w:cs="仿宋_GB2312" w:eastAsia="仿宋_GB2312"/>
                <w:sz w:val="28"/>
              </w:rPr>
              <w:t>工作日</w:t>
            </w:r>
            <w:r>
              <w:rPr>
                <w:rFonts w:ascii="仿宋_GB2312" w:hAnsi="仿宋_GB2312" w:cs="仿宋_GB2312" w:eastAsia="仿宋_GB2312"/>
                <w:sz w:val="28"/>
              </w:rPr>
              <w:t>内验收仍不合格，采购人可提出索赔或取消其供货合同。</w:t>
            </w:r>
          </w:p>
          <w:p>
            <w:pPr>
              <w:pStyle w:val="null3"/>
              <w:ind w:firstLine="562"/>
              <w:jc w:val="both"/>
            </w:pPr>
            <w:r>
              <w:rPr>
                <w:rFonts w:ascii="仿宋_GB2312" w:hAnsi="仿宋_GB2312" w:cs="仿宋_GB2312" w:eastAsia="仿宋_GB2312"/>
                <w:sz w:val="28"/>
                <w:b/>
              </w:rPr>
              <w:t>7、产品包装要求：</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1投标人必须明确所投</w:t>
            </w:r>
            <w:r>
              <w:rPr>
                <w:rFonts w:ascii="仿宋_GB2312" w:hAnsi="仿宋_GB2312" w:cs="仿宋_GB2312" w:eastAsia="仿宋_GB2312"/>
                <w:sz w:val="28"/>
              </w:rPr>
              <w:t>产品</w:t>
            </w:r>
            <w:r>
              <w:rPr>
                <w:rFonts w:ascii="仿宋_GB2312" w:hAnsi="仿宋_GB2312" w:cs="仿宋_GB2312" w:eastAsia="仿宋_GB2312"/>
                <w:sz w:val="28"/>
              </w:rPr>
              <w:t>的厂家、品牌、品种、包装规格和一些必须说明的技术参数。应保证所投产品为最新生产的产品，提供符合国家标准的检测报告。</w:t>
            </w:r>
          </w:p>
          <w:p>
            <w:pPr>
              <w:pStyle w:val="null3"/>
              <w:ind w:firstLine="560"/>
              <w:jc w:val="both"/>
            </w:pPr>
            <w:r>
              <w:rPr>
                <w:rFonts w:ascii="仿宋_GB2312" w:hAnsi="仿宋_GB2312" w:cs="仿宋_GB2312" w:eastAsia="仿宋_GB2312"/>
                <w:sz w:val="28"/>
              </w:rPr>
              <w:t>7.2所提供产品须按相应的国家标准和产品的特殊要求包装，均应有良好的防湿、防锈、防潮、防雨、防腐及防碰撞的措施。凡由于包装不良造成的损失和由此产生的费用均由中标人承担。内外包装的标志编号清晰，标签内容完整。包装质量要求不得低于投标时提交包装质量标准。包装规格与成交时包装规格一致，不得更改。</w:t>
            </w:r>
          </w:p>
          <w:p>
            <w:pPr>
              <w:pStyle w:val="null3"/>
              <w:ind w:firstLine="562"/>
              <w:jc w:val="both"/>
            </w:pPr>
            <w:r>
              <w:rPr>
                <w:rFonts w:ascii="仿宋_GB2312" w:hAnsi="仿宋_GB2312" w:cs="仿宋_GB2312" w:eastAsia="仿宋_GB2312"/>
                <w:sz w:val="28"/>
                <w:b/>
                <w:color w:val="000000"/>
              </w:rPr>
              <w:t>8、</w:t>
            </w:r>
            <w:r>
              <w:rPr>
                <w:rFonts w:ascii="仿宋_GB2312" w:hAnsi="仿宋_GB2312" w:cs="仿宋_GB2312" w:eastAsia="仿宋_GB2312"/>
                <w:sz w:val="28"/>
                <w:b/>
                <w:color w:val="000000"/>
              </w:rPr>
              <w:t>验收标准及要求</w:t>
            </w:r>
            <w:r>
              <w:rPr>
                <w:rFonts w:ascii="仿宋_GB2312" w:hAnsi="仿宋_GB2312" w:cs="仿宋_GB2312" w:eastAsia="仿宋_GB2312"/>
                <w:sz w:val="28"/>
                <w:b/>
                <w:color w:val="000000"/>
              </w:rPr>
              <w:t>:</w:t>
            </w:r>
          </w:p>
          <w:p>
            <w:pPr>
              <w:pStyle w:val="null3"/>
              <w:ind w:firstLine="560"/>
              <w:jc w:val="both"/>
            </w:pPr>
            <w:r>
              <w:rPr>
                <w:rFonts w:ascii="仿宋_GB2312" w:hAnsi="仿宋_GB2312" w:cs="仿宋_GB2312" w:eastAsia="仿宋_GB2312"/>
                <w:sz w:val="28"/>
                <w:color w:val="000000"/>
              </w:rPr>
              <w:t>8.1中标人按期供货完成后，向采购人提交验收申请；</w:t>
            </w:r>
          </w:p>
          <w:p>
            <w:pPr>
              <w:pStyle w:val="null3"/>
              <w:ind w:firstLine="560"/>
              <w:jc w:val="both"/>
            </w:pPr>
            <w:r>
              <w:rPr>
                <w:rFonts w:ascii="仿宋_GB2312" w:hAnsi="仿宋_GB2312" w:cs="仿宋_GB2312" w:eastAsia="仿宋_GB2312"/>
                <w:sz w:val="28"/>
                <w:color w:val="000000"/>
              </w:rPr>
              <w:t>8.2采购人收到验收申请后组织验收，验收时中标人应无条件予以配合并提供验收所需的必要资料，若中标人不配合或者未按时交货或交货不全的，采购人将拒绝验收；</w:t>
            </w:r>
          </w:p>
          <w:p>
            <w:pPr>
              <w:pStyle w:val="null3"/>
              <w:ind w:firstLine="560"/>
              <w:jc w:val="both"/>
            </w:pPr>
            <w:r>
              <w:rPr>
                <w:rFonts w:ascii="仿宋_GB2312" w:hAnsi="仿宋_GB2312" w:cs="仿宋_GB2312" w:eastAsia="仿宋_GB2312"/>
                <w:sz w:val="28"/>
                <w:color w:val="000000"/>
              </w:rPr>
              <w:t>8.3</w:t>
            </w:r>
            <w:r>
              <w:rPr>
                <w:rFonts w:ascii="仿宋_GB2312" w:hAnsi="仿宋_GB2312" w:cs="仿宋_GB2312" w:eastAsia="仿宋_GB2312"/>
                <w:sz w:val="28"/>
                <w:color w:val="000000"/>
              </w:rPr>
              <w:t>质量应符合相关国家标准</w:t>
            </w:r>
            <w:r>
              <w:rPr>
                <w:rFonts w:ascii="仿宋_GB2312" w:hAnsi="仿宋_GB2312" w:cs="仿宋_GB2312" w:eastAsia="仿宋_GB2312"/>
                <w:sz w:val="28"/>
                <w:color w:val="000000"/>
              </w:rPr>
              <w:t>,包装标识符合国家相关标准。</w:t>
            </w:r>
          </w:p>
          <w:p>
            <w:pPr>
              <w:pStyle w:val="null3"/>
              <w:ind w:firstLine="560"/>
              <w:jc w:val="both"/>
            </w:pPr>
            <w:r>
              <w:rPr>
                <w:rFonts w:ascii="仿宋_GB2312" w:hAnsi="仿宋_GB2312" w:cs="仿宋_GB2312" w:eastAsia="仿宋_GB2312"/>
                <w:sz w:val="28"/>
              </w:rPr>
              <w:t>8.4所供产品的规格、数量符合采购文件投标人投标承诺及采购合同约定的要求。</w:t>
            </w:r>
          </w:p>
          <w:p>
            <w:pPr>
              <w:pStyle w:val="null3"/>
              <w:ind w:firstLine="560"/>
              <w:jc w:val="both"/>
            </w:pPr>
            <w:r>
              <w:rPr>
                <w:rFonts w:ascii="仿宋_GB2312" w:hAnsi="仿宋_GB2312" w:cs="仿宋_GB2312" w:eastAsia="仿宋_GB2312"/>
                <w:sz w:val="28"/>
              </w:rPr>
              <w:t>8.5所有产品均已运输至指定地点存放。本项目所有货物均应有良好的防湿、防潮、防污染及防碰撞的措施。凡由于包装不良造成的损失和由此产生的费用均由中标人承担。</w:t>
            </w:r>
          </w:p>
          <w:p>
            <w:pPr>
              <w:pStyle w:val="null3"/>
              <w:ind w:firstLine="560"/>
              <w:jc w:val="both"/>
            </w:pPr>
            <w:r>
              <w:rPr>
                <w:rFonts w:ascii="仿宋_GB2312" w:hAnsi="仿宋_GB2312" w:cs="仿宋_GB2312" w:eastAsia="仿宋_GB2312"/>
                <w:sz w:val="28"/>
              </w:rPr>
              <w:t>8.6由采购人和投标人共同对产品进行验收。其内容包括产品质量是否达到现行国家有关验收规范“合格”标准进行逐项检查。</w:t>
            </w:r>
          </w:p>
          <w:p>
            <w:pPr>
              <w:pStyle w:val="null3"/>
              <w:ind w:firstLine="560"/>
              <w:jc w:val="both"/>
            </w:pPr>
            <w:r>
              <w:rPr>
                <w:rFonts w:ascii="仿宋_GB2312" w:hAnsi="仿宋_GB2312" w:cs="仿宋_GB2312" w:eastAsia="仿宋_GB2312"/>
                <w:sz w:val="28"/>
              </w:rPr>
              <w:t>8.7所有产品使用包装完好、全新的合格产品，不得使用积压材料。</w:t>
            </w:r>
          </w:p>
          <w:p>
            <w:pPr>
              <w:pStyle w:val="null3"/>
              <w:ind w:firstLine="560"/>
              <w:jc w:val="both"/>
            </w:pPr>
            <w:r>
              <w:rPr>
                <w:rFonts w:ascii="仿宋_GB2312" w:hAnsi="仿宋_GB2312" w:cs="仿宋_GB2312" w:eastAsia="仿宋_GB2312"/>
                <w:sz w:val="28"/>
              </w:rPr>
              <w:t>8.8产品厂家的企业资质、检验报告、货物的执行标准。</w:t>
            </w:r>
          </w:p>
          <w:p>
            <w:pPr>
              <w:pStyle w:val="null3"/>
              <w:ind w:firstLine="562"/>
              <w:jc w:val="both"/>
            </w:pPr>
            <w:r>
              <w:rPr>
                <w:rFonts w:ascii="仿宋_GB2312" w:hAnsi="仿宋_GB2312" w:cs="仿宋_GB2312" w:eastAsia="仿宋_GB2312"/>
                <w:sz w:val="28"/>
                <w:b/>
                <w:color w:val="000000"/>
              </w:rPr>
              <w:t>9</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产品</w:t>
            </w:r>
            <w:r>
              <w:rPr>
                <w:rFonts w:ascii="仿宋_GB2312" w:hAnsi="仿宋_GB2312" w:cs="仿宋_GB2312" w:eastAsia="仿宋_GB2312"/>
                <w:sz w:val="28"/>
                <w:b/>
                <w:color w:val="000000"/>
              </w:rPr>
              <w:t>验收依据：</w:t>
            </w:r>
          </w:p>
          <w:p>
            <w:pPr>
              <w:pStyle w:val="null3"/>
              <w:ind w:firstLine="548"/>
              <w:jc w:val="both"/>
            </w:pPr>
            <w:r>
              <w:rPr>
                <w:rFonts w:ascii="仿宋_GB2312" w:hAnsi="仿宋_GB2312" w:cs="仿宋_GB2312" w:eastAsia="仿宋_GB2312"/>
                <w:sz w:val="28"/>
              </w:rPr>
              <w:t>9</w:t>
            </w:r>
            <w:r>
              <w:rPr>
                <w:rFonts w:ascii="仿宋_GB2312" w:hAnsi="仿宋_GB2312" w:cs="仿宋_GB2312" w:eastAsia="仿宋_GB2312"/>
                <w:sz w:val="28"/>
              </w:rPr>
              <w:t xml:space="preserve">.1  </w:t>
            </w:r>
            <w:r>
              <w:rPr>
                <w:rFonts w:ascii="仿宋_GB2312" w:hAnsi="仿宋_GB2312" w:cs="仿宋_GB2312" w:eastAsia="仿宋_GB2312"/>
                <w:sz w:val="28"/>
              </w:rPr>
              <w:t>供货</w:t>
            </w:r>
            <w:r>
              <w:rPr>
                <w:rFonts w:ascii="仿宋_GB2312" w:hAnsi="仿宋_GB2312" w:cs="仿宋_GB2312" w:eastAsia="仿宋_GB2312"/>
                <w:sz w:val="28"/>
              </w:rPr>
              <w:t>合同文本及合同补充文件（条款）。</w:t>
            </w:r>
          </w:p>
          <w:p>
            <w:pPr>
              <w:pStyle w:val="null3"/>
              <w:ind w:firstLine="548"/>
              <w:jc w:val="both"/>
            </w:pPr>
            <w:r>
              <w:rPr>
                <w:rFonts w:ascii="仿宋_GB2312" w:hAnsi="仿宋_GB2312" w:cs="仿宋_GB2312" w:eastAsia="仿宋_GB2312"/>
                <w:sz w:val="28"/>
              </w:rPr>
              <w:t>9</w:t>
            </w:r>
            <w:r>
              <w:rPr>
                <w:rFonts w:ascii="仿宋_GB2312" w:hAnsi="仿宋_GB2312" w:cs="仿宋_GB2312" w:eastAsia="仿宋_GB2312"/>
                <w:sz w:val="28"/>
              </w:rPr>
              <w:t xml:space="preserve">.2  </w:t>
            </w:r>
            <w:r>
              <w:rPr>
                <w:rFonts w:ascii="仿宋_GB2312" w:hAnsi="仿宋_GB2312" w:cs="仿宋_GB2312" w:eastAsia="仿宋_GB2312"/>
                <w:sz w:val="28"/>
              </w:rPr>
              <w:t>招标文件</w:t>
            </w:r>
            <w:r>
              <w:rPr>
                <w:rFonts w:ascii="仿宋_GB2312" w:hAnsi="仿宋_GB2312" w:cs="仿宋_GB2312" w:eastAsia="仿宋_GB2312"/>
                <w:sz w:val="28"/>
              </w:rPr>
              <w:t>。</w:t>
            </w:r>
          </w:p>
          <w:p>
            <w:pPr>
              <w:pStyle w:val="null3"/>
              <w:ind w:firstLine="548"/>
              <w:jc w:val="both"/>
            </w:pPr>
            <w:r>
              <w:rPr>
                <w:rFonts w:ascii="仿宋_GB2312" w:hAnsi="仿宋_GB2312" w:cs="仿宋_GB2312" w:eastAsia="仿宋_GB2312"/>
                <w:sz w:val="28"/>
              </w:rPr>
              <w:t>9</w:t>
            </w:r>
            <w:r>
              <w:rPr>
                <w:rFonts w:ascii="仿宋_GB2312" w:hAnsi="仿宋_GB2312" w:cs="仿宋_GB2312" w:eastAsia="仿宋_GB2312"/>
                <w:sz w:val="28"/>
              </w:rPr>
              <w:t xml:space="preserve">.3  </w:t>
            </w:r>
            <w:r>
              <w:rPr>
                <w:rFonts w:ascii="仿宋_GB2312" w:hAnsi="仿宋_GB2312" w:cs="仿宋_GB2312" w:eastAsia="仿宋_GB2312"/>
                <w:sz w:val="28"/>
              </w:rPr>
              <w:t>中标单位</w:t>
            </w:r>
            <w:r>
              <w:rPr>
                <w:rFonts w:ascii="仿宋_GB2312" w:hAnsi="仿宋_GB2312" w:cs="仿宋_GB2312" w:eastAsia="仿宋_GB2312"/>
                <w:sz w:val="28"/>
              </w:rPr>
              <w:t>的</w:t>
            </w:r>
            <w:r>
              <w:rPr>
                <w:rFonts w:ascii="仿宋_GB2312" w:hAnsi="仿宋_GB2312" w:cs="仿宋_GB2312" w:eastAsia="仿宋_GB2312"/>
                <w:sz w:val="28"/>
              </w:rPr>
              <w:t>投标</w:t>
            </w:r>
            <w:r>
              <w:rPr>
                <w:rFonts w:ascii="仿宋_GB2312" w:hAnsi="仿宋_GB2312" w:cs="仿宋_GB2312" w:eastAsia="仿宋_GB2312"/>
                <w:sz w:val="28"/>
              </w:rPr>
              <w:t>文件。</w:t>
            </w:r>
          </w:p>
          <w:p>
            <w:pPr>
              <w:pStyle w:val="null3"/>
              <w:ind w:firstLine="560"/>
              <w:jc w:val="both"/>
            </w:pPr>
            <w:r>
              <w:rPr>
                <w:rFonts w:ascii="仿宋_GB2312" w:hAnsi="仿宋_GB2312" w:cs="仿宋_GB2312" w:eastAsia="仿宋_GB2312"/>
                <w:sz w:val="28"/>
              </w:rPr>
              <w:t>9.4 供货合同产品清单。</w:t>
            </w:r>
          </w:p>
          <w:p>
            <w:pPr>
              <w:pStyle w:val="null3"/>
              <w:ind w:firstLine="560"/>
              <w:jc w:val="both"/>
            </w:pPr>
            <w:r>
              <w:rPr>
                <w:rFonts w:ascii="仿宋_GB2312" w:hAnsi="仿宋_GB2312" w:cs="仿宋_GB2312" w:eastAsia="仿宋_GB2312"/>
                <w:sz w:val="28"/>
              </w:rPr>
              <w:t>9.5 生产厂家的企业资质、产品的执行标准。</w:t>
            </w:r>
          </w:p>
          <w:p>
            <w:pPr>
              <w:pStyle w:val="null3"/>
              <w:ind w:firstLine="562"/>
              <w:jc w:val="both"/>
            </w:pPr>
            <w:r>
              <w:rPr>
                <w:rFonts w:ascii="仿宋_GB2312" w:hAnsi="仿宋_GB2312" w:cs="仿宋_GB2312" w:eastAsia="仿宋_GB2312"/>
                <w:sz w:val="28"/>
                <w:b/>
              </w:rPr>
              <w:t>10、售后服务要求</w:t>
            </w:r>
          </w:p>
          <w:p>
            <w:pPr>
              <w:pStyle w:val="null3"/>
              <w:ind w:firstLine="560"/>
              <w:jc w:val="both"/>
            </w:pPr>
            <w:r>
              <w:rPr>
                <w:rFonts w:ascii="仿宋_GB2312" w:hAnsi="仿宋_GB2312" w:cs="仿宋_GB2312" w:eastAsia="仿宋_GB2312"/>
                <w:sz w:val="28"/>
              </w:rPr>
              <w:t>10.1中标人负责办理将货物或伴随的服务运抵采购单位指定交付地点的一切事项。凡涉及的货物包装、配送、售后服务、税金、验收等，所有费用一次性计入投标总价合同履约过程中采购人不再支付其他额外费用。</w:t>
            </w:r>
          </w:p>
          <w:p>
            <w:pPr>
              <w:pStyle w:val="null3"/>
              <w:ind w:firstLine="560"/>
              <w:jc w:val="both"/>
            </w:pPr>
            <w:r>
              <w:rPr>
                <w:rFonts w:ascii="仿宋_GB2312" w:hAnsi="仿宋_GB2312" w:cs="仿宋_GB2312" w:eastAsia="仿宋_GB2312"/>
                <w:sz w:val="28"/>
              </w:rPr>
              <w:t>10.2涉及的商品包装和快递包装，均应符合《商品包装政府采购需求标准(试行)》《快递包装政府采购需求标准(试行)》的要求，包装应适应于远距离运输、防潮、防震、防锈狝鰩雕防野蛮装卸，以确保货物安全无损运抵指定地点。</w:t>
            </w:r>
          </w:p>
          <w:p>
            <w:pPr>
              <w:pStyle w:val="null3"/>
              <w:ind w:firstLine="560"/>
              <w:jc w:val="both"/>
            </w:pPr>
            <w:r>
              <w:rPr>
                <w:rFonts w:ascii="仿宋_GB2312" w:hAnsi="仿宋_GB2312" w:cs="仿宋_GB2312" w:eastAsia="仿宋_GB2312"/>
                <w:sz w:val="28"/>
              </w:rPr>
              <w:t>10.3 技术培训要求:</w:t>
            </w:r>
          </w:p>
          <w:p>
            <w:pPr>
              <w:pStyle w:val="null3"/>
              <w:ind w:firstLine="560"/>
              <w:jc w:val="both"/>
            </w:pPr>
            <w:r>
              <w:rPr>
                <w:rFonts w:ascii="仿宋_GB2312" w:hAnsi="仿宋_GB2312" w:cs="仿宋_GB2312" w:eastAsia="仿宋_GB2312"/>
                <w:sz w:val="28"/>
              </w:rPr>
              <w:t>1)培训地点：富平县农业农村局；</w:t>
            </w:r>
          </w:p>
          <w:p>
            <w:pPr>
              <w:pStyle w:val="null3"/>
              <w:ind w:firstLine="560"/>
              <w:jc w:val="both"/>
            </w:pPr>
            <w:r>
              <w:rPr>
                <w:rFonts w:ascii="仿宋_GB2312" w:hAnsi="仿宋_GB2312" w:cs="仿宋_GB2312" w:eastAsia="仿宋_GB2312"/>
                <w:sz w:val="28"/>
              </w:rPr>
              <w:t>2)培训对象：采购人指定的技术人员及管理人员；</w:t>
            </w:r>
          </w:p>
          <w:p>
            <w:pPr>
              <w:pStyle w:val="null3"/>
              <w:ind w:firstLine="560"/>
              <w:jc w:val="both"/>
            </w:pPr>
            <w:r>
              <w:rPr>
                <w:rFonts w:ascii="仿宋_GB2312" w:hAnsi="仿宋_GB2312" w:cs="仿宋_GB2312" w:eastAsia="仿宋_GB2312"/>
                <w:sz w:val="28"/>
              </w:rPr>
              <w:t>3)培训时间：交货完成后进行培训；</w:t>
            </w:r>
          </w:p>
          <w:p>
            <w:pPr>
              <w:pStyle w:val="null3"/>
              <w:ind w:firstLine="560"/>
              <w:jc w:val="both"/>
            </w:pPr>
            <w:r>
              <w:rPr>
                <w:rFonts w:ascii="仿宋_GB2312" w:hAnsi="仿宋_GB2312" w:cs="仿宋_GB2312" w:eastAsia="仿宋_GB2312"/>
                <w:sz w:val="28"/>
              </w:rPr>
              <w:t>4)培训内容：所采购产品的使用方法；</w:t>
            </w:r>
          </w:p>
          <w:p>
            <w:pPr>
              <w:pStyle w:val="null3"/>
              <w:ind w:firstLine="560"/>
              <w:jc w:val="both"/>
            </w:pPr>
            <w:r>
              <w:rPr>
                <w:rFonts w:ascii="仿宋_GB2312" w:hAnsi="仿宋_GB2312" w:cs="仿宋_GB2312" w:eastAsia="仿宋_GB2312"/>
                <w:sz w:val="28"/>
              </w:rPr>
              <w:t>5)培训目的：确保工作人员能够正确使用。</w:t>
            </w:r>
          </w:p>
          <w:p>
            <w:pPr>
              <w:pStyle w:val="null3"/>
              <w:ind w:firstLine="560"/>
              <w:jc w:val="both"/>
            </w:pPr>
            <w:r>
              <w:rPr>
                <w:rFonts w:ascii="仿宋_GB2312" w:hAnsi="仿宋_GB2312" w:cs="仿宋_GB2312" w:eastAsia="仿宋_GB2312"/>
                <w:sz w:val="28"/>
              </w:rPr>
              <w:t>10.4售后响应时间：接到采购人售后要求后，2小时内远程响应,4小时内给出解决方案，若远程无法解决问题24小时内安排专人到达现场。</w:t>
            </w:r>
          </w:p>
          <w:p>
            <w:pPr>
              <w:pStyle w:val="null3"/>
              <w:ind w:firstLine="562"/>
              <w:jc w:val="both"/>
            </w:pPr>
            <w:r>
              <w:rPr>
                <w:rFonts w:ascii="仿宋_GB2312" w:hAnsi="仿宋_GB2312" w:cs="仿宋_GB2312" w:eastAsia="仿宋_GB2312"/>
                <w:sz w:val="28"/>
                <w:b/>
              </w:rPr>
              <w:t>11、服务标准、期限、效率等要求</w:t>
            </w:r>
          </w:p>
          <w:p>
            <w:pPr>
              <w:pStyle w:val="null3"/>
              <w:ind w:firstLine="560"/>
              <w:jc w:val="both"/>
            </w:pPr>
            <w:r>
              <w:rPr>
                <w:rFonts w:ascii="仿宋_GB2312" w:hAnsi="仿宋_GB2312" w:cs="仿宋_GB2312" w:eastAsia="仿宋_GB2312"/>
                <w:sz w:val="28"/>
              </w:rPr>
              <w:t>11.1投标人需要提供合理的项目整体实施方案并可跟踪实施。</w:t>
            </w:r>
          </w:p>
          <w:p>
            <w:pPr>
              <w:pStyle w:val="null3"/>
              <w:ind w:firstLine="560"/>
              <w:jc w:val="both"/>
            </w:pPr>
            <w:r>
              <w:rPr>
                <w:rFonts w:ascii="仿宋_GB2312" w:hAnsi="仿宋_GB2312" w:cs="仿宋_GB2312" w:eastAsia="仿宋_GB2312"/>
                <w:sz w:val="28"/>
              </w:rPr>
              <w:t>11.2投标人需要提供生产实施方案，在规定的时间内有计划地完成项目需求产品的生产。</w:t>
            </w:r>
          </w:p>
          <w:p>
            <w:pPr>
              <w:pStyle w:val="null3"/>
              <w:ind w:firstLine="560"/>
              <w:jc w:val="both"/>
            </w:pPr>
            <w:r>
              <w:rPr>
                <w:rFonts w:ascii="仿宋_GB2312" w:hAnsi="仿宋_GB2312" w:cs="仿宋_GB2312" w:eastAsia="仿宋_GB2312"/>
                <w:sz w:val="28"/>
              </w:rPr>
              <w:t>11.3投标人需要提供品控管理方案，对产品质量有管理管控过程，有独立品管部门和专门品管人员，确保产品生产过程中的质量控制完善。</w:t>
            </w:r>
          </w:p>
          <w:p>
            <w:pPr>
              <w:pStyle w:val="null3"/>
              <w:ind w:firstLine="560"/>
              <w:jc w:val="both"/>
            </w:pPr>
            <w:r>
              <w:rPr>
                <w:rFonts w:ascii="仿宋_GB2312" w:hAnsi="仿宋_GB2312" w:cs="仿宋_GB2312" w:eastAsia="仿宋_GB2312"/>
                <w:sz w:val="28"/>
              </w:rPr>
              <w:t>11.4投标人</w:t>
            </w:r>
            <w:r>
              <w:rPr>
                <w:rFonts w:ascii="仿宋_GB2312" w:hAnsi="仿宋_GB2312" w:cs="仿宋_GB2312" w:eastAsia="仿宋_GB2312"/>
                <w:sz w:val="28"/>
              </w:rPr>
              <w:t>需要提供工作进度实施方案，根据货物交付时间节点，落实送货时间和人员安排玨蠙耘苍覗仗滗搽姸龄豹保按期交付使用。</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5选择运输风险小、运费低、距离短的运输路线。运杂费一次包含在总价内，包括生产厂到施工现场所需的装卸、运输(含保险费)、现场保管费、二次倒运费、吊装费等费用。</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6项目团队要求</w:t>
            </w:r>
            <w:r>
              <w:rPr>
                <w:rFonts w:ascii="仿宋_GB2312" w:hAnsi="仿宋_GB2312" w:cs="仿宋_GB2312" w:eastAsia="仿宋_GB2312"/>
                <w:sz w:val="28"/>
              </w:rPr>
              <w:t>：</w:t>
            </w:r>
            <w:r>
              <w:rPr>
                <w:rFonts w:ascii="仿宋_GB2312" w:hAnsi="仿宋_GB2312" w:cs="仿宋_GB2312" w:eastAsia="仿宋_GB2312"/>
                <w:sz w:val="28"/>
              </w:rPr>
              <w:t>有经验的技术实施团队。</w:t>
            </w:r>
          </w:p>
          <w:p>
            <w:pPr>
              <w:pStyle w:val="null3"/>
              <w:jc w:val="both"/>
            </w:pPr>
            <w:r>
              <w:rPr>
                <w:rFonts w:ascii="仿宋_GB2312" w:hAnsi="仿宋_GB2312" w:cs="仿宋_GB2312" w:eastAsia="仿宋_GB2312"/>
                <w:sz w:val="28"/>
                <w:b/>
              </w:rPr>
              <w:t>12.知识产权</w:t>
            </w:r>
          </w:p>
          <w:p>
            <w:pPr>
              <w:pStyle w:val="null3"/>
              <w:ind w:firstLine="560"/>
              <w:jc w:val="both"/>
            </w:pPr>
            <w:r>
              <w:rPr>
                <w:rFonts w:ascii="仿宋_GB2312" w:hAnsi="仿宋_GB2312" w:cs="仿宋_GB2312" w:eastAsia="仿宋_GB2312"/>
                <w:sz w:val="28"/>
              </w:rPr>
              <w:t>投标人应保证投标服务及货物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jc w:val="both"/>
            </w:pPr>
            <w:r>
              <w:rPr>
                <w:rFonts w:ascii="仿宋_GB2312" w:hAnsi="仿宋_GB2312" w:cs="仿宋_GB2312" w:eastAsia="仿宋_GB2312"/>
                <w:sz w:val="28"/>
                <w:b/>
              </w:rPr>
              <w:t>13.违约责任</w:t>
            </w:r>
          </w:p>
          <w:p>
            <w:pPr>
              <w:pStyle w:val="null3"/>
              <w:ind w:firstLine="560"/>
              <w:jc w:val="both"/>
            </w:pPr>
            <w:r>
              <w:rPr>
                <w:rFonts w:ascii="仿宋_GB2312" w:hAnsi="仿宋_GB2312" w:cs="仿宋_GB2312" w:eastAsia="仿宋_GB2312"/>
                <w:sz w:val="28"/>
              </w:rPr>
              <w:t>13.1按照《中华人民共和国民法典》中的相关条款执行。</w:t>
            </w:r>
          </w:p>
          <w:p>
            <w:pPr>
              <w:pStyle w:val="null3"/>
              <w:ind w:firstLine="560"/>
              <w:jc w:val="both"/>
            </w:pPr>
            <w:r>
              <w:rPr>
                <w:rFonts w:ascii="仿宋_GB2312" w:hAnsi="仿宋_GB2312" w:cs="仿宋_GB2312" w:eastAsia="仿宋_GB2312"/>
                <w:sz w:val="28"/>
              </w:rPr>
              <w:t>13.2中标人未按合同要求提供货物与服务或货物与服务质量不能满足合同要求的，采购人有权终止采购合同并上报同级监管部门。</w:t>
            </w:r>
          </w:p>
          <w:p>
            <w:pPr>
              <w:pStyle w:val="null3"/>
              <w:ind w:firstLine="560"/>
              <w:jc w:val="both"/>
            </w:pPr>
            <w:r>
              <w:rPr>
                <w:rFonts w:ascii="仿宋_GB2312" w:hAnsi="仿宋_GB2312" w:cs="仿宋_GB2312" w:eastAsia="仿宋_GB2312"/>
                <w:sz w:val="27"/>
                <w:b/>
              </w:rPr>
              <w:t>注：商务</w:t>
            </w:r>
            <w:r>
              <w:rPr>
                <w:rFonts w:ascii="仿宋_GB2312" w:hAnsi="仿宋_GB2312" w:cs="仿宋_GB2312" w:eastAsia="仿宋_GB2312"/>
                <w:sz w:val="28"/>
                <w:b/>
              </w:rPr>
              <w:t>服务要求必须全部响应，不得出现负偏离，否则按废标处理。</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量元素水溶肥料（高氮）及含氨基酸水溶肥料在合同签订之日起5日内完成供货；大量元素水溶肥料（高磷）、有机水溶肥料、“一喷三防”物资、茎基腐防治药剂及小麦播种底肥在作物生产季待甲方通知后5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渭南市富平县（具体地点以采购人指定地点为准）。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银行转账，待所有产品供货完成并经采购单位验收合格后一次性付清所有款项；采购单位付款前，中标单位需开具合规合法的增值税发票（注：本项目费用由财政拨付，如因不可抗力、政府原因或政策影响等因素导致款项未能按合同约定时效、比例支付的，甲方不承担违约责任，乙方不得以此为由拒绝履行合同约定的责任和义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一、产品的验收： （一）产品到达交货地点后，由使用单位根据合同对产品的名称、品牌、规格、型号、产地、数量等进行检查。 （二）验收不合格的产品，中标必须在接到通知后5个工作日内确保产品通过验收。若接到通知后5个工作日内验收仍不合格，采购人可提出索赔或取消其供货合同。 二、验收标准及要求: （一）中标人按期供货完成后，向采购人提交验收申请； （二）采购人收到验收申请后组织验收，验收时中标人应无条件予以配合并提供验收所需的必要资料，若中标人不配合或者未按时交货或交货不全的，采购人将拒绝验收； （三）质量应符合相关国家标准,包装标识符合国家相关标准。 （四）所供产品的规格、数量符合采购文件供应商投标承诺及采购合同约定的要求。 （五）所有产品均已运输至指定地点存放。本项目所有货物均应有良好的防湿、防潮、防污染及防碰撞的措施。凡由于包装不良造成的损失和由此产生的费用均由中标人承担。 （六）由采购人和供应商共同对产品进行验收。其内容包括产品质量是否达到现行国家有关验收规范“合格”标准进行逐项检查。 （七）所有产品使用包装完好、全新的合格产品，不得使用积压材料。 （八）产品厂家的企业资质、检验报告、货物的执行标准。 三、产品验收依据： （一） 供货合同文本及合同补充文件（条款）。 （二） 招标文件。 （三）中标单位的投标文件。 （四）供货合同产品清单。 （五）生产厂家的企业资质、产品的执行标准。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所有产品质保期1年（自交货验收合格之日起计算，质保期内，应提供免除一切费用的售后服务）。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双方当事人约定，在履行合同过程中产生争议时： （1）请合同主管部门调解； （2）合同争议调解不成的，依法向渭南市富平县人民法院提起诉讼。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 2、本项目采购标的所属行业为：工业。（按照《工信部、国家统计局、发改委、财政部、工信部联企业》中小企业划型标准（〔2011〕300号）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法定代表人身份证明书及授权委托书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供应商财务状况</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企业农药资质要求</w:t>
            </w:r>
          </w:p>
        </w:tc>
        <w:tc>
          <w:tcPr>
            <w:tcW w:type="dxa" w:w="3322"/>
          </w:tcPr>
          <w:p>
            <w:pPr>
              <w:pStyle w:val="null3"/>
            </w:pPr>
            <w:r>
              <w:rPr>
                <w:rFonts w:ascii="仿宋_GB2312" w:hAnsi="仿宋_GB2312" w:cs="仿宋_GB2312" w:eastAsia="仿宋_GB2312"/>
              </w:rPr>
              <w:t>供应商为生产制造厂商须具备药品三证（农药登记证、农药生产许可证、产品标准证）复印件加盖公章，供应商为经销代理商须提供有效期内的农药经营许可证及生产制造厂商药品三证（农药登记证、农药生产许可证、产品标准证）复印件加盖制造商单位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企业肥料资质要求</w:t>
            </w:r>
          </w:p>
        </w:tc>
        <w:tc>
          <w:tcPr>
            <w:tcW w:type="dxa" w:w="3322"/>
          </w:tcPr>
          <w:p>
            <w:pPr>
              <w:pStyle w:val="null3"/>
            </w:pPr>
            <w:r>
              <w:rPr>
                <w:rFonts w:ascii="仿宋_GB2312" w:hAnsi="仿宋_GB2312" w:cs="仿宋_GB2312" w:eastAsia="仿宋_GB2312"/>
              </w:rPr>
              <w:t>供应商为生产制造厂商的须提供所投产品农业部门批准核发的《肥料登记证》或备案查询截图加盖制造商公章；供应商为代理经销商须提供生产制造厂商农业部门批准核发《肥料登记证》或备案查询截图复印件加盖生产制造厂商单位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信用中国及中国政府采购网查询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投标文件中签字、盖章是否有效，是否符合招标文件要求；</w:t>
            </w:r>
          </w:p>
        </w:tc>
        <w:tc>
          <w:tcPr>
            <w:tcW w:type="dxa" w:w="1661"/>
          </w:tcPr>
          <w:p>
            <w:pPr>
              <w:pStyle w:val="null3"/>
            </w:pPr>
            <w:r>
              <w:rPr>
                <w:rFonts w:ascii="仿宋_GB2312" w:hAnsi="仿宋_GB2312" w:cs="仿宋_GB2312" w:eastAsia="仿宋_GB2312"/>
              </w:rPr>
              <w:t>技术服务方案.docx 开标一览表 中小企业声明函 商务应答表 业绩响应文件.docx 供应商承诺书.docx 资格证明文件.docx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投标文件内容齐全，无重大缺漏项；</w:t>
            </w:r>
          </w:p>
        </w:tc>
        <w:tc>
          <w:tcPr>
            <w:tcW w:type="dxa" w:w="1661"/>
          </w:tcPr>
          <w:p>
            <w:pPr>
              <w:pStyle w:val="null3"/>
            </w:pPr>
            <w:r>
              <w:rPr>
                <w:rFonts w:ascii="仿宋_GB2312" w:hAnsi="仿宋_GB2312" w:cs="仿宋_GB2312" w:eastAsia="仿宋_GB2312"/>
              </w:rPr>
              <w:t>技术服务方案.docx 开标一览表 产品技术参数表 分项报价表.docx 投标函 中小企业声明函 商务应答表 标的清单 投标文件封面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供应商不得提交选择性报价，只有一个有效报价，且报价不超过采购预算或最高限价；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交货期、交货地点及质保期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技术服务方案.docx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技术服务方案.docx 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无效投标情形</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技术服务方案.docx 开标一览表 产品技术参数表 分项报价表.docx 投标函 中小企业声明函 商务应答表 标的清单 投标文件封面 供应商承诺书.docx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产品来源渠道及技术指标</w:t>
            </w:r>
          </w:p>
        </w:tc>
        <w:tc>
          <w:tcPr>
            <w:tcW w:type="dxa" w:w="2492"/>
          </w:tcPr>
          <w:p>
            <w:pPr>
              <w:pStyle w:val="null3"/>
            </w:pPr>
            <w:r>
              <w:rPr>
                <w:rFonts w:ascii="仿宋_GB2312" w:hAnsi="仿宋_GB2312" w:cs="仿宋_GB2312" w:eastAsia="仿宋_GB2312"/>
              </w:rPr>
              <w:t>供应商所提供的农药及化肥产品技术指标和性能完全符合、响应招标文件要求，供应商提供技术指标佐证材料（包括不限于自身生产证明/厂家授权/代理协议/质量检验报告等证明材料）以证明参数的技术响应性，供应商自负因佐证材料不全而造成技术参数响应负偏离的后果。 评审标准： （1）投标产品来源渠道明确，证明材料中品牌型号与投标产品相对应计8分； （2）投标产品来源渠道不明确或证明材料中的品牌型号与投标产品不能完全对应，存在部分缺失应计5分； （3）投标产品无来源证明或证明材料与投标产品完全不对应，仅提供有投标产品品牌型号清单计3分；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针对项目的实施方案</w:t>
            </w:r>
          </w:p>
        </w:tc>
        <w:tc>
          <w:tcPr>
            <w:tcW w:type="dxa" w:w="2492"/>
          </w:tcPr>
          <w:p>
            <w:pPr>
              <w:pStyle w:val="null3"/>
            </w:pPr>
            <w:r>
              <w:rPr>
                <w:rFonts w:ascii="仿宋_GB2312" w:hAnsi="仿宋_GB2312" w:cs="仿宋_GB2312" w:eastAsia="仿宋_GB2312"/>
              </w:rPr>
              <w:t>供应商针对本项目提供合理可行的实施方案，内容包含不限于①备货、供货及保证措施方案等；②服务流程；③服务工作内容；④组织管理方案；⑤包装运输；⑥项目实施等。实施方案应具有全面性、可行性、针对性，方案明确，布局规范。 （1）提供具体详细的实施方案，方案总体思路清晰，实施方法及工作安排合理，涵盖内容全面，针对性操作性强得10分； （2）提供具体详细的实施方案，方案总体思路清晰，实施方法及工作安排合理，涵盖内容全面，有针对性操作性得8分； （3）提供较为具体的实施方案，方案总体思路较清晰，实施方法及工作安排较合理，涵盖内容较全面，针对性一般得6分； （4）提供实施方案涵盖内容不全面，无法保证项目顺利完成得4分； （5）方案内容简单笼统，实施难度大的得2分。 （6）未提供方案不得分。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证措施，内容包括但不限于①质量管理措施；②质量控制方案；③质量管理体系；④产品质量保证措施；⑤实施质量保证措施等，能有效地保障项目实施过程的衔接、保证项目整体质量。 （1）提供具体详细的确保质量的技术组织措施实施方案，方案总体思路清晰，实施方法合理可行，涵盖内容全面，针对性操作性强得10分； （2）提供具体详细的实施方案，方案总体思路清晰，实施方法较合理，涵盖内容全面，有针对性操作性得8分； （3）提供较为具体的实施方案，方案总体思路较清晰，实施方法不全，涵盖内容较全面，针对性一般得6分； （4）提供实施方案涵盖内容不全面，无法保证项目质量得4分； （5）方案内容简单笼统，实施难度大的得2分。 （6）未提供方案不得分。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供应商针对本项目配备相应团队人员，确保本项目顺利实施；团队人员配备包括但不限于项目负责人、配送司机、搬运人员、售后服务人员、培训人员等，须提供人员相应证件。 1.拟投入本项目人员10人及以上，计6分； 2.拟投入本项目人员在5人及以上、8人以下，计4分； 3.拟投入本项目人员在5人以下，计2分。 4.无明确团队人员不计分。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供应商针对本项目提供预防及应急预案，内容包括但不限于①应急方案及措施；②质量问题补救措施；③运输措施；④验收措施等。 （1）方案科学全面、详细具体、针对性强得6分； （2）应急方案科学全面、详细具体、针对性较强得4分； （3）方案基本可行，但不够全面且方案存在欠缺、不利于实施得2分。 （4）未提供方案不得分。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供货进度保证方案</w:t>
            </w:r>
          </w:p>
        </w:tc>
        <w:tc>
          <w:tcPr>
            <w:tcW w:type="dxa" w:w="2492"/>
          </w:tcPr>
          <w:p>
            <w:pPr>
              <w:pStyle w:val="null3"/>
            </w:pPr>
            <w:r>
              <w:rPr>
                <w:rFonts w:ascii="仿宋_GB2312" w:hAnsi="仿宋_GB2312" w:cs="仿宋_GB2312" w:eastAsia="仿宋_GB2312"/>
              </w:rPr>
              <w:t>供应商针对本项目提供供货进度保证方案，内容包括但不限于①项目进度安排；②组织协调措施等。 （1）方案能满足用户需求，方案内容详细、合理，且易于实施，得8分； （2）方案基本满足用户需求，方案内容较详细、合理性较好，考虑较周全，得6分； （3）方案内容一般，不够全面，得4分； （4）方案水平较低，方案内容不详细，可行性较低，缺乏相应内容，得2分； （5）未能提供方案的或其他情况的不得分。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供应商针对本项目提供完整、可行的售后服务方案，内容包括但不限于①售后服务人员安排；②售后服务响应时间与处理时间；③售后服务内容及方式等。 （1）方案能满足采购需求，方案内容详细、合理，且易于实施，得8分； （2）方案基本满足用户需求，方案内容较详细、合理性较好，考虑较周全，得6分； （3）方案内容一般，不够全面，得4分； （4）方案水平较低，方案内容不详细，可行性较低，缺乏相应内容，得2分；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供应商针对本项目具有相应的培训方案，内容包括但不限于①培训方案；②培训人数及场次；③培训内容；④培训计划；⑤培训措施承诺。 （1）培训方案全面、合理、有针对性得6分； （2）培训方案在全面性、合理性、针对性上有欠缺得4分； （3）培训方案不全面、不合理得2分； （4）未能提供方案的或其他情况的不得分。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8月至今）内承担过类似项目业绩，每提供一个有效业绩得2分，最高得8分。注：每个有效业绩须包含以下内容：完整的供货服务合同复印件（提供合同首页、主要内容页、金额页、盖章页等关键页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采用低价优先法计算，即满足招标件要求且投标报价最低的供应商的价格为评标基准价，其价格分为满分。 投标报价得分=（评标基准价/投标总报价）×30，价格分计算四舍五入，保留两位小数。 当评标委员会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详见附件：业绩响应文件.docx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详见附件：采购合同条款（参考格式）.docx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