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版本号：SXYD25-ZFCG-0603.20250825001</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（工程类）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2025年富平县到贤镇西樊村产业配套基础设施建设项目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SXYD25-ZFCG-0603.</w:t>
      </w:r>
      <w:r>
        <w:br/>
      </w:r>
      <w:r>
        <w:br/>
      </w:r>
      <w:r>
        <w:br/>
      </w:r>
    </w:p>
    <w:p>
      <w:pPr>
        <w:pStyle w:val="null3"/>
        <w:jc w:val="center"/>
        <w:outlineLvl w:val="2"/>
      </w:pPr>
      <w:r>
        <w:rPr>
          <w:rFonts w:ascii="仿宋_GB2312" w:hAnsi="仿宋_GB2312" w:cs="仿宋_GB2312" w:eastAsia="仿宋_GB2312"/>
          <w:sz w:val="28"/>
          <w:b/>
        </w:rPr>
        <w:t>富平县到贤镇人民政府（本级）</w:t>
      </w:r>
    </w:p>
    <w:p>
      <w:pPr>
        <w:pStyle w:val="null3"/>
        <w:jc w:val="center"/>
        <w:outlineLvl w:val="2"/>
      </w:pPr>
      <w:r>
        <w:rPr>
          <w:rFonts w:ascii="仿宋_GB2312" w:hAnsi="仿宋_GB2312" w:cs="仿宋_GB2312" w:eastAsia="仿宋_GB2312"/>
          <w:sz w:val="28"/>
          <w:b/>
        </w:rPr>
        <w:t>陕西远大发展项目管理有限公司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2025年08月25日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陕西远大发展项目管理有限公司</w:t>
      </w:r>
      <w:r>
        <w:rPr>
          <w:rFonts w:ascii="仿宋_GB2312" w:hAnsi="仿宋_GB2312" w:cs="仿宋_GB2312" w:eastAsia="仿宋_GB2312"/>
        </w:rPr>
        <w:t>（以下简称“代理机构”）受</w:t>
      </w:r>
      <w:r>
        <w:rPr>
          <w:rFonts w:ascii="仿宋_GB2312" w:hAnsi="仿宋_GB2312" w:cs="仿宋_GB2312" w:eastAsia="仿宋_GB2312"/>
        </w:rPr>
        <w:t>富平县到贤镇人民政府（本级）</w:t>
      </w:r>
      <w:r>
        <w:rPr>
          <w:rFonts w:ascii="仿宋_GB2312" w:hAnsi="仿宋_GB2312" w:cs="仿宋_GB2312" w:eastAsia="仿宋_GB2312"/>
        </w:rPr>
        <w:t>委托，拟对</w:t>
      </w:r>
      <w:r>
        <w:rPr>
          <w:rFonts w:ascii="仿宋_GB2312" w:hAnsi="仿宋_GB2312" w:cs="仿宋_GB2312" w:eastAsia="仿宋_GB2312"/>
        </w:rPr>
        <w:t>2025年富平县到贤镇西樊村产业配套基础设施建设项目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SXYD25-ZFCG-0603.</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2025年富平县到贤镇西樊村产业配套基础设施建设项目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主要建设内容包括毛石护坡基础开挖306m³，毛石护坡基础3:7灰土306m³，毛石护坡782.67m³，护坡混凝土压顶52.85m³，破除混凝土路面335㎡，厚度20cm，混凝土浇筑路面20cm，3：7灰土30cm厚385.65㎡，护坡砖墙114m³，水泥砂浆抹灰394㎡，U型排水沟6m；新修产业路1386平方米，长396m，宽3.5m，厚度18cm。</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采购包1（2025年富平县到贤镇西樊村产业配套基础设施建设项目）：属于专门面向中小企业采购。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法定代表人授权委托书（附法定代表人、被授权人身份证复印件）；法定代表人参加投标只须提供法定代表人身份证明（附法定代表人身份证复印件）：法定代表人授权委托书（附法定代表人、被授权人身份证复印件）；法定代表人参加投标只须提供法定代表人身份证明（附法定代表人身份证复印件）；</w:t>
      </w:r>
    </w:p>
    <w:p>
      <w:pPr>
        <w:pStyle w:val="null3"/>
      </w:pPr>
      <w:r>
        <w:rPr>
          <w:rFonts w:ascii="仿宋_GB2312" w:hAnsi="仿宋_GB2312" w:cs="仿宋_GB2312" w:eastAsia="仿宋_GB2312"/>
        </w:rPr>
        <w:t>2、合法注册的企业提供营业执照（有统一社会信用代码）并附企业年度报告；事业法人提供事业单位法人证书、组织机构代码证书；其他组织应提供合法证明文件；自然人提供身份证：合法注册的企业提供营业执照（有统一社会信用代码）并附企业年度报告；事业法人提供事业单位法人证书、组织机构代码证书；其他组织应提供合法证明文件；自然人提供身份证；</w:t>
      </w:r>
    </w:p>
    <w:p>
      <w:pPr>
        <w:pStyle w:val="null3"/>
      </w:pPr>
      <w:r>
        <w:rPr>
          <w:rFonts w:ascii="仿宋_GB2312" w:hAnsi="仿宋_GB2312" w:cs="仿宋_GB2312" w:eastAsia="仿宋_GB2312"/>
        </w:rPr>
        <w:t>3、具备市政公用工程施工总承包三级及以上资质：具备市政公用工程施工总承包三级及以上资质；</w:t>
      </w:r>
    </w:p>
    <w:p>
      <w:pPr>
        <w:pStyle w:val="null3"/>
      </w:pPr>
      <w:r>
        <w:rPr>
          <w:rFonts w:ascii="仿宋_GB2312" w:hAnsi="仿宋_GB2312" w:cs="仿宋_GB2312" w:eastAsia="仿宋_GB2312"/>
        </w:rPr>
        <w:t>4、具有建设行政主管部门核发有效的安全生产许可证：具有建设行政主管部门核发有效的安全生产许可证；</w:t>
      </w:r>
    </w:p>
    <w:p>
      <w:pPr>
        <w:pStyle w:val="null3"/>
      </w:pPr>
      <w:r>
        <w:rPr>
          <w:rFonts w:ascii="仿宋_GB2312" w:hAnsi="仿宋_GB2312" w:cs="仿宋_GB2312" w:eastAsia="仿宋_GB2312"/>
        </w:rPr>
        <w:t>5、拟派项目经理具备市政公用工程注册建造师二级及以上资格和有效的安全生产考核合格证书，提供项目经理无在建工程的相关证明材料或承诺书：拟派项目经理具备市政公用工程注册建造师二级及以上资格和有效的安全生产考核合格证书，提供项目经理无在建工程的相关证明材料或承诺书；</w:t>
      </w:r>
    </w:p>
    <w:p>
      <w:pPr>
        <w:pStyle w:val="null3"/>
      </w:pPr>
      <w:r>
        <w:rPr>
          <w:rFonts w:ascii="仿宋_GB2312" w:hAnsi="仿宋_GB2312" w:cs="仿宋_GB2312" w:eastAsia="仿宋_GB2312"/>
        </w:rPr>
        <w:t>6、提供2024年经审计的财务报告（成立时间至提交磋商响应文件截止时间不足一年的可提供成立后任意时段的财务报表）：提供2024年经审计的财务报告（成立时间至提交磋商响应文件截止时间不足一年的可提供成立后任意时段的财务报表）；</w:t>
      </w:r>
    </w:p>
    <w:p>
      <w:pPr>
        <w:pStyle w:val="null3"/>
      </w:pPr>
      <w:r>
        <w:rPr>
          <w:rFonts w:ascii="仿宋_GB2312" w:hAnsi="仿宋_GB2312" w:cs="仿宋_GB2312" w:eastAsia="仿宋_GB2312"/>
        </w:rPr>
        <w:t>7、提供依法缴纳税收的良好记录（提供递交磋商响应文件截止时间前六个月内任意一个月份的缴纳凭据复印件并加盖单位公章。依法免税或开标前一年内零申报的供应商应提供相关证明文件）：提供依法缴纳税收的良好记录（提供递交磋商响应文件截止时间前六个月内任意一个月份的缴纳凭据复印件并加盖单位公章。依法免税或开标前一年内零申报的供应商应提供相关证明文件）；</w:t>
      </w:r>
    </w:p>
    <w:p>
      <w:pPr>
        <w:pStyle w:val="null3"/>
      </w:pPr>
      <w:r>
        <w:rPr>
          <w:rFonts w:ascii="仿宋_GB2312" w:hAnsi="仿宋_GB2312" w:cs="仿宋_GB2312" w:eastAsia="仿宋_GB2312"/>
        </w:rPr>
        <w:t>8、提供依法缴纳社会保障资金的良好记录（提供递交磋商响应文件截止时间前六个月内任意一个月份的缴纳凭据复印件并加盖单位公章。依法不需要缴纳社会保障资金的供应商应提供相关证明文件）：提供依法缴纳社会保障资金的良好记录（提供递交磋商响应文件截止时间前六个月内任意一个月份的缴纳凭据复印件并加盖单位公章。依法不需要缴纳社会保障资金的供应商应提供相关证明文件）；</w:t>
      </w:r>
    </w:p>
    <w:p>
      <w:pPr>
        <w:pStyle w:val="null3"/>
      </w:pPr>
      <w:r>
        <w:rPr>
          <w:rFonts w:ascii="仿宋_GB2312" w:hAnsi="仿宋_GB2312" w:cs="仿宋_GB2312" w:eastAsia="仿宋_GB2312"/>
        </w:rPr>
        <w:t>9、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p>
      <w:pPr>
        <w:pStyle w:val="null3"/>
      </w:pPr>
      <w:r>
        <w:rPr>
          <w:rFonts w:ascii="仿宋_GB2312" w:hAnsi="仿宋_GB2312" w:cs="仿宋_GB2312" w:eastAsia="仿宋_GB2312"/>
        </w:rPr>
        <w:t>10、提供近三年内在经营活动中无重大违法记录的书面声明：提供近三年内在经营活动中无重大违法记录的书面声明；</w:t>
      </w:r>
    </w:p>
    <w:p>
      <w:pPr>
        <w:pStyle w:val="null3"/>
      </w:pPr>
      <w:r>
        <w:rPr>
          <w:rFonts w:ascii="仿宋_GB2312" w:hAnsi="仿宋_GB2312" w:cs="仿宋_GB2312" w:eastAsia="仿宋_GB2312"/>
        </w:rPr>
        <w:t>11、 a.提供磋商保证金转账凭证和基本存款账户信息证明资料复印件或扫描件；b.提供金融机构、担保机构出具的保函复印件或扫描件。以上两种方式二选一，复印件或扫描件均须加盖公章： a.提供磋商保证金转账凭证和基本存款账户信息证明资料复印件或扫描件；b.提供金融机构、担保机构出具的保函复印件或扫描件。以上两种方式二选一，复印件或扫描件均须加盖公章；</w:t>
      </w:r>
    </w:p>
    <w:p>
      <w:pPr>
        <w:pStyle w:val="null3"/>
      </w:pPr>
      <w:r>
        <w:rPr>
          <w:rFonts w:ascii="仿宋_GB2312" w:hAnsi="仿宋_GB2312" w:cs="仿宋_GB2312" w:eastAsia="仿宋_GB2312"/>
        </w:rPr>
        <w:t>12、提供单位负责人为同一人或者存在直接控股、管理关系的不同供应商，不得参加同一合同项下的政府采购活动的书面声明：提供单位负责人为同一人或者存在直接控股、管理关系的不同供应商，不得参加同一合同项下的政府采购活动的书面声明；</w:t>
      </w:r>
    </w:p>
    <w:p>
      <w:pPr>
        <w:pStyle w:val="null3"/>
      </w:pPr>
      <w:r>
        <w:rPr>
          <w:rFonts w:ascii="仿宋_GB2312" w:hAnsi="仿宋_GB2312" w:cs="仿宋_GB2312" w:eastAsia="仿宋_GB2312"/>
        </w:rPr>
        <w:t>13、提供具有履行本合同所必需的设备和专业技术能力的说明及承诺：提供具有履行本合同所必需的设备和专业技术能力的说明及承诺。</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注：获取的磋商文件主体格式包括pdf、word两种格式版本，其中以pdf格式为准。</w:t>
      </w:r>
    </w:p>
    <w:p>
      <w:pPr>
        <w:pStyle w:val="null3"/>
        <w:outlineLvl w:val="2"/>
      </w:pPr>
      <w:r>
        <w:rPr>
          <w:rFonts w:ascii="仿宋_GB2312" w:hAnsi="仿宋_GB2312" w:cs="仿宋_GB2312" w:eastAsia="仿宋_GB2312"/>
          <w:sz w:val="28"/>
          <w:b/>
        </w:rPr>
        <w:t>八、提交首次响应文件截止时间及开启时间、地点、方式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富平县到贤镇人民政府（本级）</w:t>
      </w:r>
    </w:p>
    <w:p>
      <w:pPr>
        <w:pStyle w:val="null3"/>
      </w:pPr>
      <w:r>
        <w:rPr>
          <w:rFonts w:ascii="仿宋_GB2312" w:hAnsi="仿宋_GB2312" w:cs="仿宋_GB2312" w:eastAsia="仿宋_GB2312"/>
        </w:rPr>
        <w:t xml:space="preserve"> 地址： </w:t>
      </w:r>
      <w:r>
        <w:rPr>
          <w:rFonts w:ascii="仿宋_GB2312" w:hAnsi="仿宋_GB2312" w:cs="仿宋_GB2312" w:eastAsia="仿宋_GB2312"/>
        </w:rPr>
        <w:t>富平县到贤镇街道</w:t>
      </w:r>
    </w:p>
    <w:p>
      <w:pPr>
        <w:pStyle w:val="null3"/>
      </w:pPr>
      <w:r>
        <w:rPr>
          <w:rFonts w:ascii="仿宋_GB2312" w:hAnsi="仿宋_GB2312" w:cs="仿宋_GB2312" w:eastAsia="仿宋_GB2312"/>
        </w:rPr>
        <w:t xml:space="preserve"> 邮编： </w:t>
      </w:r>
      <w:r>
        <w:rPr>
          <w:rFonts w:ascii="仿宋_GB2312" w:hAnsi="仿宋_GB2312" w:cs="仿宋_GB2312" w:eastAsia="仿宋_GB2312"/>
        </w:rPr>
        <w:t>711704</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李辉</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13772739110</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陕西远大发展项目管理有限公司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陕西省西咸新区沣西新城西部云谷B1楼二层201室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710100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王女士</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15399130672</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富平县政府采购管理股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蒋老师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0913-8221145</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采购包1：1,110,000.00元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产品属于节能产品政府采购品目清单中应强制采购的产品范围，供应商应当按照第六章强制、优先采购产品承诺函格式进行承诺，否则作无效响应处理。</w:t>
            </w:r>
          </w:p>
          <w:p>
            <w:pPr>
              <w:pStyle w:val="null3"/>
            </w:pPr>
            <w:r>
              <w:rPr>
                <w:rFonts w:ascii="仿宋_GB2312" w:hAnsi="仿宋_GB2312" w:cs="仿宋_GB2312" w:eastAsia="仿宋_GB2312"/>
              </w:rPr>
              <w:t>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产品属于环境标志产品政府采购品目清单中应优先采购的产品范围，供应商可根据第六章强制、优先采购产品承诺函格式要求承诺提供经认证的节能、环境标志产品。</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 （实质性要求）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采购包1保证金金额：10,000.00元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开户名称：陕西远大发展项目管理有限公司富平县分公司</w:t>
            </w:r>
          </w:p>
          <w:p>
            <w:pPr>
              <w:pStyle w:val="null3"/>
            </w:pPr>
            <w:r>
              <w:rPr>
                <w:rFonts w:ascii="仿宋_GB2312" w:hAnsi="仿宋_GB2312" w:cs="仿宋_GB2312" w:eastAsia="仿宋_GB2312"/>
              </w:rPr>
              <w:t>开户银行：中国农业银行股份有限公司富平县东街支行</w:t>
            </w:r>
          </w:p>
          <w:p>
            <w:pPr>
              <w:pStyle w:val="null3"/>
            </w:pPr>
            <w:r>
              <w:rPr>
                <w:rFonts w:ascii="仿宋_GB2312" w:hAnsi="仿宋_GB2312" w:cs="仿宋_GB2312" w:eastAsia="仿宋_GB2312"/>
              </w:rPr>
              <w:t>银行账号：26556001040002277</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质量保证金</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从提交首次响应文件截止之日起，不少于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招标代理费按（发改价格〔2002〕1980号文件）计算收取、编制标底费按（陕价行发〔2014〕88号文件）计算收取；按《国家发展和改革委员会办公厅关于招标代理服务收费有关问题的通知》（发改办价格〔2003〕857号文件）执行；招标代理费、编制标底费不计入工程造价，向成交供应商收取。若本次招标失败（非代理机构原因），招标代理费、编制标底费由采购人支付。具体金额详见采购结果公告，在领取中标通知书时向采购代理机构一次付清。</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20</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富平县到贤镇人民政府（本级）</w:t>
      </w:r>
      <w:r>
        <w:rPr>
          <w:rFonts w:ascii="仿宋_GB2312" w:hAnsi="仿宋_GB2312" w:cs="仿宋_GB2312" w:eastAsia="仿宋_GB2312"/>
        </w:rPr>
        <w:t>和</w:t>
      </w:r>
      <w:r>
        <w:rPr>
          <w:rFonts w:ascii="仿宋_GB2312" w:hAnsi="仿宋_GB2312" w:cs="仿宋_GB2312" w:eastAsia="仿宋_GB2312"/>
        </w:rPr>
        <w:t>陕西远大发展项目管理有限公司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富平县到贤镇人民政府（本级）</w:t>
      </w:r>
      <w:r>
        <w:rPr>
          <w:rFonts w:ascii="仿宋_GB2312" w:hAnsi="仿宋_GB2312" w:cs="仿宋_GB2312" w:eastAsia="仿宋_GB2312"/>
        </w:rPr>
        <w:t>负责解释。除上述磋商文件内容，其他内容由</w:t>
      </w:r>
      <w:r>
        <w:rPr>
          <w:rFonts w:ascii="仿宋_GB2312" w:hAnsi="仿宋_GB2312" w:cs="仿宋_GB2312" w:eastAsia="仿宋_GB2312"/>
        </w:rPr>
        <w:t>陕西远大发展项目管理有限公司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富平县到贤镇人民政府（本级）</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陕西远大发展项目管理有限公司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本次采购活动的基本依据，也是供应商准备响应文件、参加采购活动的依据。磋商文件包括资格预审文件、磋商邀请、采购方式、采购预算、采购需求、政府采购政策要求、评审程序、评审方法、评审标准、价格构成或者报价要求、响应文件编制要求、磋商过程中可能实质性变动内容、响应文件提交的截止时间、开启时间及地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因专利权、商标权或其它知识产权而引起法律和经济纠纷，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 xml:space="preserve"> 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一、供应商应认真核实本项目的工程量清单。</w:t>
      </w:r>
    </w:p>
    <w:p>
      <w:pPr>
        <w:pStyle w:val="null3"/>
        <w:ind w:firstLine="480"/>
      </w:pPr>
      <w:r>
        <w:rPr>
          <w:rFonts w:ascii="仿宋_GB2312" w:hAnsi="仿宋_GB2312" w:cs="仿宋_GB2312" w:eastAsia="仿宋_GB2312"/>
        </w:rPr>
        <w:t>二、供应商的报价是其响应本项目要求的全部工作内容的价格体现，包括供应商完成本项目所需的一切费用。</w:t>
      </w:r>
    </w:p>
    <w:p>
      <w:pPr>
        <w:pStyle w:val="null3"/>
        <w:ind w:firstLine="480"/>
      </w:pPr>
      <w:r>
        <w:rPr>
          <w:rFonts w:ascii="仿宋_GB2312" w:hAnsi="仿宋_GB2312" w:cs="仿宋_GB2312" w:eastAsia="仿宋_GB2312"/>
        </w:rPr>
        <w:t>三、本项目合同价格形式为如下：</w:t>
      </w:r>
    </w:p>
    <w:p>
      <w:pPr>
        <w:pStyle w:val="null3"/>
      </w:pPr>
      <w:r>
        <w:rPr>
          <w:rFonts w:ascii="仿宋_GB2312" w:hAnsi="仿宋_GB2312" w:cs="仿宋_GB2312" w:eastAsia="仿宋_GB2312"/>
        </w:rPr>
        <w:t>采购包1：项目单价</w:t>
      </w:r>
    </w:p>
    <w:p>
      <w:pPr>
        <w:pStyle w:val="null3"/>
      </w:pPr>
      <w:r>
        <w:rPr>
          <w:rFonts w:ascii="仿宋_GB2312" w:hAnsi="仿宋_GB2312" w:cs="仿宋_GB2312" w:eastAsia="仿宋_GB2312"/>
        </w:rPr>
        <w:t>项目单价。</w:t>
      </w:r>
    </w:p>
    <w:p>
      <w:pPr>
        <w:pStyle w:val="null3"/>
      </w:pPr>
      <w:r>
        <w:rPr>
          <w:rFonts w:ascii="仿宋_GB2312" w:hAnsi="仿宋_GB2312" w:cs="仿宋_GB2312" w:eastAsia="仿宋_GB2312"/>
        </w:rPr>
        <w:t>供应商在首次提交的响应文件中的报价（即首次报价）应按采购文件及工程量清单编制要求，逐一列出报价的构成及明细，并提供已标价工程量清单。已标价工程量清单的扉页(仅指投标总价扉页)应由注册或登记的造价人员签字并盖执业印章。</w:t>
      </w:r>
    </w:p>
    <w:p>
      <w:pPr>
        <w:pStyle w:val="null3"/>
      </w:pPr>
      <w:r>
        <w:rPr>
          <w:rFonts w:ascii="仿宋_GB2312" w:hAnsi="仿宋_GB2312" w:cs="仿宋_GB2312" w:eastAsia="仿宋_GB2312"/>
        </w:rPr>
        <w:t>供应商提交的已标价工程量清单应符合本项目工程量清单以及清单说明的要求。当供应商的已标价工程量清单有下列情形之一的，应按照无效响应文件处理。</w:t>
      </w:r>
    </w:p>
    <w:p>
      <w:pPr>
        <w:pStyle w:val="null3"/>
      </w:pPr>
      <w:r>
        <w:rPr>
          <w:rFonts w:ascii="仿宋_GB2312" w:hAnsi="仿宋_GB2312" w:cs="仿宋_GB2312" w:eastAsia="仿宋_GB2312"/>
        </w:rPr>
        <w:t>（一）供应商对工程量清单中的分部分项工程量清单项目（说明：根据建筑、水利、交通等确定具体表述）的单价未填报或填报为零的，视为未完全响应工程量清单，作无效处理；</w:t>
      </w:r>
    </w:p>
    <w:p>
      <w:pPr>
        <w:pStyle w:val="null3"/>
      </w:pPr>
      <w:r>
        <w:rPr>
          <w:rFonts w:ascii="仿宋_GB2312" w:hAnsi="仿宋_GB2312" w:cs="仿宋_GB2312" w:eastAsia="仿宋_GB2312"/>
        </w:rPr>
        <w:t>（二）已标价工程量清单的项目编码、项目名称、项目特征（与采购人提供的工程量清单中的项目特征的实质性内容一致的除外）、计量单位、工程量与采购人提供的工程量清单不一致的；</w:t>
      </w:r>
    </w:p>
    <w:p>
      <w:pPr>
        <w:pStyle w:val="null3"/>
      </w:pPr>
      <w:r>
        <w:rPr>
          <w:rFonts w:ascii="仿宋_GB2312" w:hAnsi="仿宋_GB2312" w:cs="仿宋_GB2312" w:eastAsia="仿宋_GB2312"/>
        </w:rPr>
        <w:t>（三）采购文件已明确各单位工程安全文明施工费中的环境保护费、文明施工费、安全施工费、临时设施费金额并要求按此金额填报而供应商填报错误或未填报的，或供应商未按相关计价规定计取安全文明施工费的；</w:t>
      </w:r>
    </w:p>
    <w:p>
      <w:pPr>
        <w:pStyle w:val="null3"/>
      </w:pPr>
      <w:r>
        <w:rPr>
          <w:rFonts w:ascii="仿宋_GB2312" w:hAnsi="仿宋_GB2312" w:cs="仿宋_GB2312" w:eastAsia="仿宋_GB2312"/>
        </w:rPr>
        <w:t>（四）采购文件已明确各单位工程规费金额并要求按此金额填报而供应商填报错误或未填报的，或供应商未按相关计价规定计取规费的；</w:t>
      </w:r>
    </w:p>
    <w:p>
      <w:pPr>
        <w:pStyle w:val="null3"/>
      </w:pPr>
      <w:r>
        <w:rPr>
          <w:rFonts w:ascii="仿宋_GB2312" w:hAnsi="仿宋_GB2312" w:cs="仿宋_GB2312" w:eastAsia="仿宋_GB2312"/>
        </w:rPr>
        <w:t>（五）采购文件若已明确创优质工程奖补偿奖励费金额并要求按此金额填报而供应商填报错误或未填报的；</w:t>
      </w:r>
    </w:p>
    <w:p>
      <w:pPr>
        <w:pStyle w:val="null3"/>
      </w:pPr>
      <w:r>
        <w:rPr>
          <w:rFonts w:ascii="仿宋_GB2312" w:hAnsi="仿宋_GB2312" w:cs="仿宋_GB2312" w:eastAsia="仿宋_GB2312"/>
        </w:rPr>
        <w:t>（六）已标价工程量清单中暂列金额未按工程量清单中列明的金额填报的；</w:t>
      </w:r>
    </w:p>
    <w:p>
      <w:pPr>
        <w:pStyle w:val="null3"/>
      </w:pPr>
      <w:r>
        <w:rPr>
          <w:rFonts w:ascii="仿宋_GB2312" w:hAnsi="仿宋_GB2312" w:cs="仿宋_GB2312" w:eastAsia="仿宋_GB2312"/>
        </w:rPr>
        <w:t>（七）已标价工程量清单中材料、工程设备暂估价未按工程量清单中列出的单价计入综合单价的；</w:t>
      </w:r>
    </w:p>
    <w:p>
      <w:pPr>
        <w:pStyle w:val="null3"/>
      </w:pPr>
      <w:r>
        <w:rPr>
          <w:rFonts w:ascii="仿宋_GB2312" w:hAnsi="仿宋_GB2312" w:cs="仿宋_GB2312" w:eastAsia="仿宋_GB2312"/>
        </w:rPr>
        <w:t>（八）已标价工程量清单中专业工程暂估价未按工程量清单中列明的金额填写的；</w:t>
      </w:r>
    </w:p>
    <w:p>
      <w:pPr>
        <w:pStyle w:val="null3"/>
      </w:pPr>
      <w:r>
        <w:rPr>
          <w:rFonts w:ascii="仿宋_GB2312" w:hAnsi="仿宋_GB2312" w:cs="仿宋_GB2312" w:eastAsia="仿宋_GB2312"/>
        </w:rPr>
        <w:t>（九）已标价工程量清单中计日工未按工程量清单中列明的数量进行报价的；</w:t>
      </w:r>
    </w:p>
    <w:p>
      <w:pPr>
        <w:pStyle w:val="null3"/>
      </w:pPr>
      <w:r>
        <w:rPr>
          <w:rFonts w:ascii="仿宋_GB2312" w:hAnsi="仿宋_GB2312" w:cs="仿宋_GB2312" w:eastAsia="仿宋_GB2312"/>
        </w:rPr>
        <w:t>（十）单价、合价或总价，不论其大写金额或小写金额均只能有一个，否则，作无效处理。</w:t>
      </w:r>
    </w:p>
    <w:p>
      <w:pPr>
        <w:pStyle w:val="null3"/>
      </w:pPr>
      <w:r>
        <w:rPr>
          <w:rFonts w:ascii="仿宋_GB2312" w:hAnsi="仿宋_GB2312" w:cs="仿宋_GB2312" w:eastAsia="仿宋_GB2312"/>
        </w:rPr>
        <w:t>若供应商的最后报价只有一个总价，则供应商应当提交相应调整部分的报价构成及明细，并结合首次报价提供的已标价工程量清单，重新计算总报价。</w:t>
      </w:r>
    </w:p>
    <w:p>
      <w:pPr>
        <w:pStyle w:val="null3"/>
      </w:pPr>
      <w:r>
        <w:rPr>
          <w:rFonts w:ascii="仿宋_GB2312" w:hAnsi="仿宋_GB2312" w:cs="仿宋_GB2312" w:eastAsia="仿宋_GB2312"/>
        </w:rPr>
        <w:t>供应商报价超过政府采购预算或最高限价（金额详见“供应商须知前附表”）的，其响应文件按无效处理。</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三、供应商完成响应文件编制后，应按照磋商文件第1章明确的签章要求，使用互认的证书及签章对响应文件进行电子签章和加密。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采购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 xml:space="preserve"> 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 xml:space="preserve"> 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 xml:space="preserve"> 二、交付竣工验收的工程，必须符合规定的工程质量标准，有完整的工程技术经济资料和经签署的工程保修书，并具备国家规定的其他竣工条件。 工程竣工经验收合格后，方可交付使用；未经验收或者验收不合格的，不得交付使用</w:t>
      </w:r>
    </w:p>
    <w:p>
      <w:pPr>
        <w:pStyle w:val="null3"/>
        <w:ind w:firstLine="480"/>
      </w:pPr>
      <w:r>
        <w:rPr>
          <w:rFonts w:ascii="仿宋_GB2312" w:hAnsi="仿宋_GB2312" w:cs="仿宋_GB2312" w:eastAsia="仿宋_GB2312"/>
        </w:rPr>
        <w:t>三、验收结果合格的，采购人应向成交供应商出具履约验收报告，成交供应商凭验收报告办理相关手续。</w:t>
      </w:r>
    </w:p>
    <w:p>
      <w:pPr>
        <w:pStyle w:val="null3"/>
        <w:ind w:firstLine="480"/>
      </w:pPr>
      <w:r>
        <w:rPr>
          <w:rFonts w:ascii="仿宋_GB2312" w:hAnsi="仿宋_GB2312" w:cs="仿宋_GB2312" w:eastAsia="仿宋_GB2312"/>
        </w:rPr>
        <w:t xml:space="preserve"> 四、验收结果不合格的，履约保证金将不予退还，给采购人造成的损失超过履约保证金数额的，还应当对超过部分予以赔偿；没有提交履约保证金的，应当对采购人的损失承担赔偿责任。</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采购人将按照政府采购合同规定，及时向成交供应商支付采购资金。</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采购文件、采购过程、成交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联系人：王女士</w:t>
      </w:r>
    </w:p>
    <w:p>
      <w:pPr>
        <w:pStyle w:val="null3"/>
      </w:pPr>
      <w:r>
        <w:rPr>
          <w:rFonts w:ascii="仿宋_GB2312" w:hAnsi="仿宋_GB2312" w:cs="仿宋_GB2312" w:eastAsia="仿宋_GB2312"/>
        </w:rPr>
        <w:t>联系电话：15399130672</w:t>
      </w:r>
    </w:p>
    <w:p>
      <w:pPr>
        <w:pStyle w:val="null3"/>
      </w:pPr>
      <w:r>
        <w:rPr>
          <w:rFonts w:ascii="仿宋_GB2312" w:hAnsi="仿宋_GB2312" w:cs="仿宋_GB2312" w:eastAsia="仿宋_GB2312"/>
        </w:rPr>
        <w:t>地址： 陕西省西咸新区沣西新城西部云谷B1楼二层201室</w:t>
      </w:r>
    </w:p>
    <w:p>
      <w:pPr>
        <w:pStyle w:val="null3"/>
      </w:pPr>
      <w:r>
        <w:rPr>
          <w:rFonts w:ascii="仿宋_GB2312" w:hAnsi="仿宋_GB2312" w:cs="仿宋_GB2312" w:eastAsia="仿宋_GB2312"/>
        </w:rPr>
        <w:t>邮编：712000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1,110,000.00</w:t>
      </w:r>
    </w:p>
    <w:p>
      <w:pPr>
        <w:pStyle w:val="null3"/>
      </w:pPr>
      <w:r>
        <w:rPr>
          <w:rFonts w:ascii="仿宋_GB2312" w:hAnsi="仿宋_GB2312" w:cs="仿宋_GB2312" w:eastAsia="仿宋_GB2312"/>
        </w:rPr>
        <w:t>采购包最高限价（元）: 1,102,180.91</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rFonts w:ascii="仿宋_GB2312" w:hAnsi="仿宋_GB2312" w:cs="仿宋_GB2312" w:eastAsia="仿宋_GB2312"/>
              </w:rPr>
              <w:t>序号</w:t>
            </w:r>
          </w:p>
        </w:tc>
        <w:tc>
          <w:tcPr>
            <w:tcW w:type="dxa" w:w="1384"/>
          </w:tcPr>
          <w:p>
            <w:pPr>
              <w:pStyle w:val="null3"/>
            </w:pPr>
            <w:r>
              <w:rPr>
                <w:rFonts w:ascii="仿宋_GB2312" w:hAnsi="仿宋_GB2312" w:cs="仿宋_GB2312" w:eastAsia="仿宋_GB2312"/>
              </w:rPr>
              <w:t>标的名称</w:t>
            </w:r>
          </w:p>
        </w:tc>
        <w:tc>
          <w:tcPr>
            <w:tcW w:type="dxa" w:w="1384"/>
          </w:tcPr>
          <w:p>
            <w:pPr>
              <w:pStyle w:val="null3"/>
            </w:pPr>
            <w:r>
              <w:rPr>
                <w:rFonts w:ascii="仿宋_GB2312" w:hAnsi="仿宋_GB2312" w:cs="仿宋_GB2312" w:eastAsia="仿宋_GB2312"/>
              </w:rPr>
              <w:t>数量</w:t>
            </w:r>
          </w:p>
        </w:tc>
        <w:tc>
          <w:tcPr>
            <w:tcW w:type="dxa" w:w="1384"/>
          </w:tcPr>
          <w:p>
            <w:pPr>
              <w:pStyle w:val="null3"/>
            </w:pPr>
            <w:r>
              <w:rPr>
                <w:rFonts w:ascii="仿宋_GB2312" w:hAnsi="仿宋_GB2312" w:cs="仿宋_GB2312" w:eastAsia="仿宋_GB2312"/>
              </w:rPr>
              <w:t>标的金额 （元）</w:t>
            </w:r>
          </w:p>
        </w:tc>
        <w:tc>
          <w:tcPr>
            <w:tcW w:type="dxa" w:w="1384"/>
          </w:tcPr>
          <w:p>
            <w:pPr>
              <w:pStyle w:val="null3"/>
            </w:pPr>
            <w:r>
              <w:rPr>
                <w:rFonts w:ascii="仿宋_GB2312" w:hAnsi="仿宋_GB2312" w:cs="仿宋_GB2312" w:eastAsia="仿宋_GB2312"/>
              </w:rPr>
              <w:t>计量单位</w:t>
            </w:r>
          </w:p>
        </w:tc>
        <w:tc>
          <w:tcPr>
            <w:tcW w:type="dxa" w:w="1384"/>
          </w:tcPr>
          <w:p>
            <w:pPr>
              <w:pStyle w:val="null3"/>
            </w:pPr>
            <w:r>
              <w:rPr>
                <w:rFonts w:ascii="仿宋_GB2312" w:hAnsi="仿宋_GB2312" w:cs="仿宋_GB2312" w:eastAsia="仿宋_GB2312"/>
              </w:rPr>
              <w:t>所属行业</w:t>
            </w:r>
          </w:p>
        </w:tc>
      </w:tr>
      <w:tr>
        <w:tc>
          <w:tcPr>
            <w:tcW w:type="dxa" w:w="1384"/>
          </w:tcPr>
          <w:p>
            <w:pPr>
              <w:pStyle w:val="null3"/>
            </w:pPr>
            <w:r>
              <w:rPr>
                <w:rFonts w:ascii="仿宋_GB2312" w:hAnsi="仿宋_GB2312" w:cs="仿宋_GB2312" w:eastAsia="仿宋_GB2312"/>
              </w:rPr>
              <w:t>1</w:t>
            </w:r>
          </w:p>
        </w:tc>
        <w:tc>
          <w:tcPr>
            <w:tcW w:type="dxa" w:w="1384"/>
          </w:tcPr>
          <w:p>
            <w:pPr>
              <w:pStyle w:val="null3"/>
            </w:pPr>
            <w:r>
              <w:rPr>
                <w:rFonts w:ascii="仿宋_GB2312" w:hAnsi="仿宋_GB2312" w:cs="仿宋_GB2312" w:eastAsia="仿宋_GB2312"/>
              </w:rPr>
              <w:t>2025年富平县到贤镇西樊村产业配套基础设施建设项目</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1,110,000.00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建筑业</w:t>
            </w:r>
          </w:p>
        </w:tc>
      </w:tr>
    </w:tbl>
    <w:p>
      <w:pPr>
        <w:pStyle w:val="null3"/>
        <w:ind w:firstLine="480"/>
      </w:pPr>
      <w:r>
        <w:rPr>
          <w:rFonts w:ascii="仿宋_GB2312" w:hAnsi="仿宋_GB2312" w:cs="仿宋_GB2312" w:eastAsia="仿宋_GB2312"/>
        </w:rPr>
        <w:t>一、技术、服务标准和要求：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标的名称：2025年富平县到贤镇西樊村产业配套基础设施建设项目</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pPr>
            <w:r>
              <w:rPr>
                <w:rFonts w:ascii="仿宋_GB2312" w:hAnsi="仿宋_GB2312" w:cs="仿宋_GB2312" w:eastAsia="仿宋_GB2312"/>
                <w:sz w:val="18"/>
              </w:rPr>
              <w:t>编制说明</w:t>
            </w:r>
          </w:p>
          <w:p>
            <w:pPr>
              <w:pStyle w:val="null3"/>
              <w:jc w:val="center"/>
            </w:pPr>
            <w:r>
              <w:rPr>
                <w:rFonts w:ascii="仿宋_GB2312" w:hAnsi="仿宋_GB2312" w:cs="仿宋_GB2312" w:eastAsia="仿宋_GB2312"/>
                <w:sz w:val="18"/>
                <w:b/>
              </w:rPr>
              <w:t>一、工程概况</w:t>
            </w:r>
          </w:p>
          <w:p>
            <w:pPr>
              <w:pStyle w:val="null3"/>
              <w:ind w:firstLine="560"/>
              <w:jc w:val="left"/>
            </w:pPr>
            <w:r>
              <w:rPr>
                <w:rFonts w:ascii="仿宋_GB2312" w:hAnsi="仿宋_GB2312" w:cs="仿宋_GB2312" w:eastAsia="仿宋_GB2312"/>
                <w:sz w:val="18"/>
              </w:rPr>
              <w:t>1、</w:t>
            </w:r>
            <w:r>
              <w:rPr>
                <w:rFonts w:ascii="仿宋_GB2312" w:hAnsi="仿宋_GB2312" w:cs="仿宋_GB2312" w:eastAsia="仿宋_GB2312"/>
                <w:sz w:val="18"/>
              </w:rPr>
              <w:t>项目名称：</w:t>
            </w:r>
            <w:r>
              <w:rPr>
                <w:rFonts w:ascii="仿宋_GB2312" w:hAnsi="仿宋_GB2312" w:cs="仿宋_GB2312" w:eastAsia="仿宋_GB2312"/>
                <w:sz w:val="18"/>
              </w:rPr>
              <w:t>2025年富平县到贤镇西樊村产业配套基础设施建设项目</w:t>
            </w:r>
          </w:p>
          <w:p>
            <w:pPr>
              <w:pStyle w:val="null3"/>
              <w:ind w:firstLine="560"/>
              <w:jc w:val="left"/>
            </w:pPr>
            <w:r>
              <w:rPr>
                <w:rFonts w:ascii="仿宋_GB2312" w:hAnsi="仿宋_GB2312" w:cs="仿宋_GB2312" w:eastAsia="仿宋_GB2312"/>
                <w:sz w:val="18"/>
              </w:rPr>
              <w:t>2、</w:t>
            </w:r>
            <w:r>
              <w:rPr>
                <w:rFonts w:ascii="仿宋_GB2312" w:hAnsi="仿宋_GB2312" w:cs="仿宋_GB2312" w:eastAsia="仿宋_GB2312"/>
                <w:sz w:val="18"/>
              </w:rPr>
              <w:t>工程概况：</w:t>
            </w:r>
            <w:r>
              <w:rPr>
                <w:rFonts w:ascii="仿宋_GB2312" w:hAnsi="仿宋_GB2312" w:cs="仿宋_GB2312" w:eastAsia="仿宋_GB2312"/>
                <w:sz w:val="18"/>
                <w:color w:val="000000"/>
              </w:rPr>
              <w:t>主要建设内容包括毛石护坡基础开挖</w:t>
            </w:r>
            <w:r>
              <w:rPr>
                <w:rFonts w:ascii="仿宋_GB2312" w:hAnsi="仿宋_GB2312" w:cs="仿宋_GB2312" w:eastAsia="仿宋_GB2312"/>
                <w:sz w:val="18"/>
                <w:color w:val="000000"/>
              </w:rPr>
              <w:t>306m³，毛石护坡基础3:7灰土306m³，毛石护坡782.67m³，护坡混凝土压顶52.85m³，破除混凝土路面335㎡，厚度20cm，混凝土浇筑路面20cm，3：7灰土30cm厚385.65㎡，护坡砖墙114m³，水泥砂浆抹灰394㎡，U型排水沟6m；新修产业路1386平方米，长396m，宽3.5m，厚度18cm。</w:t>
            </w:r>
          </w:p>
          <w:p>
            <w:pPr>
              <w:pStyle w:val="null3"/>
              <w:ind w:firstLine="560"/>
              <w:jc w:val="left"/>
            </w:pPr>
            <w:r>
              <w:rPr>
                <w:rFonts w:ascii="仿宋_GB2312" w:hAnsi="仿宋_GB2312" w:cs="仿宋_GB2312" w:eastAsia="仿宋_GB2312"/>
                <w:sz w:val="18"/>
              </w:rPr>
              <w:t>3</w:t>
            </w:r>
            <w:r>
              <w:rPr>
                <w:rFonts w:ascii="仿宋_GB2312" w:hAnsi="仿宋_GB2312" w:cs="仿宋_GB2312" w:eastAsia="仿宋_GB2312"/>
                <w:sz w:val="18"/>
              </w:rPr>
              <w:t>、</w:t>
            </w:r>
            <w:r>
              <w:rPr>
                <w:rFonts w:ascii="仿宋_GB2312" w:hAnsi="仿宋_GB2312" w:cs="仿宋_GB2312" w:eastAsia="仿宋_GB2312"/>
                <w:sz w:val="18"/>
              </w:rPr>
              <w:t>建设地点</w:t>
            </w:r>
            <w:r>
              <w:rPr>
                <w:rFonts w:ascii="仿宋_GB2312" w:hAnsi="仿宋_GB2312" w:cs="仿宋_GB2312" w:eastAsia="仿宋_GB2312"/>
                <w:sz w:val="18"/>
              </w:rPr>
              <w:t>：</w:t>
            </w:r>
            <w:r>
              <w:rPr>
                <w:rFonts w:ascii="仿宋_GB2312" w:hAnsi="仿宋_GB2312" w:cs="仿宋_GB2312" w:eastAsia="仿宋_GB2312"/>
                <w:sz w:val="18"/>
              </w:rPr>
              <w:t>项目位于</w:t>
            </w:r>
            <w:r>
              <w:rPr>
                <w:rFonts w:ascii="仿宋_GB2312" w:hAnsi="仿宋_GB2312" w:cs="仿宋_GB2312" w:eastAsia="仿宋_GB2312"/>
                <w:sz w:val="18"/>
              </w:rPr>
              <w:t>渭南市富平县到贤镇西樊村</w:t>
            </w:r>
            <w:r>
              <w:rPr>
                <w:rFonts w:ascii="仿宋_GB2312" w:hAnsi="仿宋_GB2312" w:cs="仿宋_GB2312" w:eastAsia="仿宋_GB2312"/>
                <w:sz w:val="18"/>
              </w:rPr>
              <w:t>。</w:t>
            </w:r>
          </w:p>
          <w:p>
            <w:pPr>
              <w:pStyle w:val="null3"/>
              <w:jc w:val="both"/>
            </w:pPr>
            <w:r>
              <w:rPr>
                <w:rFonts w:ascii="仿宋_GB2312" w:hAnsi="仿宋_GB2312" w:cs="仿宋_GB2312" w:eastAsia="仿宋_GB2312"/>
                <w:sz w:val="18"/>
                <w:b/>
              </w:rPr>
              <w:t>二、编制依据</w:t>
            </w:r>
          </w:p>
          <w:p>
            <w:pPr>
              <w:pStyle w:val="null3"/>
              <w:ind w:firstLine="560"/>
              <w:jc w:val="both"/>
            </w:pPr>
            <w:r>
              <w:rPr>
                <w:rFonts w:ascii="仿宋_GB2312" w:hAnsi="仿宋_GB2312" w:cs="仿宋_GB2312" w:eastAsia="仿宋_GB2312"/>
                <w:sz w:val="18"/>
                <w:color w:val="000000"/>
              </w:rPr>
              <w:t>1、</w:t>
            </w:r>
            <w:r>
              <w:rPr>
                <w:rFonts w:ascii="仿宋_GB2312" w:hAnsi="仿宋_GB2312" w:cs="仿宋_GB2312" w:eastAsia="仿宋_GB2312"/>
                <w:sz w:val="18"/>
                <w:color w:val="000000"/>
              </w:rPr>
              <w:t>《</w:t>
            </w:r>
            <w:r>
              <w:rPr>
                <w:rFonts w:ascii="仿宋_GB2312" w:hAnsi="仿宋_GB2312" w:cs="仿宋_GB2312" w:eastAsia="仿宋_GB2312"/>
                <w:sz w:val="18"/>
                <w:color w:val="000000"/>
              </w:rPr>
              <w:t>陕西省建设工程工程量清单计价</w:t>
            </w:r>
            <w:r>
              <w:rPr>
                <w:rFonts w:ascii="仿宋_GB2312" w:hAnsi="仿宋_GB2312" w:cs="仿宋_GB2312" w:eastAsia="仿宋_GB2312"/>
                <w:sz w:val="18"/>
                <w:color w:val="000000"/>
              </w:rPr>
              <w:t>标准及计算标准</w:t>
            </w:r>
            <w:r>
              <w:rPr>
                <w:rFonts w:ascii="仿宋_GB2312" w:hAnsi="仿宋_GB2312" w:cs="仿宋_GB2312" w:eastAsia="仿宋_GB2312"/>
                <w:sz w:val="18"/>
                <w:color w:val="000000"/>
              </w:rPr>
              <w:t>》（</w:t>
            </w:r>
            <w:r>
              <w:rPr>
                <w:rFonts w:ascii="仿宋_GB2312" w:hAnsi="仿宋_GB2312" w:cs="仿宋_GB2312" w:eastAsia="仿宋_GB2312"/>
                <w:sz w:val="18"/>
                <w:color w:val="000000"/>
              </w:rPr>
              <w:t>20</w:t>
            </w:r>
            <w:r>
              <w:rPr>
                <w:rFonts w:ascii="仿宋_GB2312" w:hAnsi="仿宋_GB2312" w:cs="仿宋_GB2312" w:eastAsia="仿宋_GB2312"/>
                <w:sz w:val="18"/>
                <w:color w:val="000000"/>
              </w:rPr>
              <w:t>25</w:t>
            </w:r>
            <w:r>
              <w:rPr>
                <w:rFonts w:ascii="仿宋_GB2312" w:hAnsi="仿宋_GB2312" w:cs="仿宋_GB2312" w:eastAsia="仿宋_GB2312"/>
                <w:sz w:val="18"/>
                <w:color w:val="000000"/>
              </w:rPr>
              <w:t>）；</w:t>
            </w:r>
          </w:p>
          <w:p>
            <w:pPr>
              <w:pStyle w:val="null3"/>
              <w:ind w:firstLine="560"/>
              <w:jc w:val="both"/>
            </w:pPr>
            <w:r>
              <w:rPr>
                <w:rFonts w:ascii="仿宋_GB2312" w:hAnsi="仿宋_GB2312" w:cs="仿宋_GB2312" w:eastAsia="仿宋_GB2312"/>
                <w:sz w:val="18"/>
                <w:color w:val="000000"/>
              </w:rPr>
              <w:t>2、《陕西省</w:t>
            </w:r>
            <w:r>
              <w:rPr>
                <w:rFonts w:ascii="仿宋_GB2312" w:hAnsi="仿宋_GB2312" w:cs="仿宋_GB2312" w:eastAsia="仿宋_GB2312"/>
                <w:sz w:val="18"/>
                <w:color w:val="000000"/>
              </w:rPr>
              <w:t>房屋</w:t>
            </w:r>
            <w:r>
              <w:rPr>
                <w:rFonts w:ascii="仿宋_GB2312" w:hAnsi="仿宋_GB2312" w:cs="仿宋_GB2312" w:eastAsia="仿宋_GB2312"/>
                <w:sz w:val="18"/>
                <w:color w:val="000000"/>
              </w:rPr>
              <w:t>建筑工程</w:t>
            </w:r>
            <w:r>
              <w:rPr>
                <w:rFonts w:ascii="仿宋_GB2312" w:hAnsi="仿宋_GB2312" w:cs="仿宋_GB2312" w:eastAsia="仿宋_GB2312"/>
                <w:sz w:val="18"/>
                <w:color w:val="000000"/>
              </w:rPr>
              <w:t>及</w:t>
            </w:r>
            <w:r>
              <w:rPr>
                <w:rFonts w:ascii="仿宋_GB2312" w:hAnsi="仿宋_GB2312" w:cs="仿宋_GB2312" w:eastAsia="仿宋_GB2312"/>
                <w:sz w:val="18"/>
                <w:color w:val="000000"/>
              </w:rPr>
              <w:t>装饰工程、</w:t>
            </w:r>
            <w:r>
              <w:rPr>
                <w:rFonts w:ascii="仿宋_GB2312" w:hAnsi="仿宋_GB2312" w:cs="仿宋_GB2312" w:eastAsia="仿宋_GB2312"/>
                <w:sz w:val="18"/>
                <w:color w:val="000000"/>
              </w:rPr>
              <w:t>通用安装工程、</w:t>
            </w:r>
            <w:r>
              <w:rPr>
                <w:rFonts w:ascii="仿宋_GB2312" w:hAnsi="仿宋_GB2312" w:cs="仿宋_GB2312" w:eastAsia="仿宋_GB2312"/>
                <w:sz w:val="18"/>
                <w:color w:val="000000"/>
              </w:rPr>
              <w:t>市政工程、园林绿化工程消耗量定额》</w:t>
            </w:r>
            <w:r>
              <w:rPr>
                <w:rFonts w:ascii="仿宋_GB2312" w:hAnsi="仿宋_GB2312" w:cs="仿宋_GB2312" w:eastAsia="仿宋_GB2312"/>
                <w:sz w:val="18"/>
                <w:color w:val="000000"/>
              </w:rPr>
              <w:t>（</w:t>
            </w:r>
            <w:r>
              <w:rPr>
                <w:rFonts w:ascii="仿宋_GB2312" w:hAnsi="仿宋_GB2312" w:cs="仿宋_GB2312" w:eastAsia="仿宋_GB2312"/>
                <w:sz w:val="18"/>
                <w:color w:val="000000"/>
              </w:rPr>
              <w:t>2025</w:t>
            </w:r>
            <w:r>
              <w:rPr>
                <w:rFonts w:ascii="仿宋_GB2312" w:hAnsi="仿宋_GB2312" w:cs="仿宋_GB2312" w:eastAsia="仿宋_GB2312"/>
                <w:sz w:val="18"/>
                <w:color w:val="000000"/>
              </w:rPr>
              <w:t>）、</w:t>
            </w:r>
            <w:r>
              <w:rPr>
                <w:rFonts w:ascii="仿宋_GB2312" w:hAnsi="仿宋_GB2312" w:cs="仿宋_GB2312" w:eastAsia="仿宋_GB2312"/>
                <w:sz w:val="18"/>
                <w:color w:val="000000"/>
              </w:rPr>
              <w:t>（陕西省价目表</w:t>
            </w:r>
            <w:r>
              <w:rPr>
                <w:rFonts w:ascii="仿宋_GB2312" w:hAnsi="仿宋_GB2312" w:cs="仿宋_GB2312" w:eastAsia="仿宋_GB2312"/>
                <w:sz w:val="18"/>
                <w:color w:val="000000"/>
              </w:rPr>
              <w:t>20</w:t>
            </w:r>
            <w:r>
              <w:rPr>
                <w:rFonts w:ascii="仿宋_GB2312" w:hAnsi="仿宋_GB2312" w:cs="仿宋_GB2312" w:eastAsia="仿宋_GB2312"/>
                <w:sz w:val="18"/>
                <w:color w:val="000000"/>
              </w:rPr>
              <w:t>25</w:t>
            </w:r>
            <w:r>
              <w:rPr>
                <w:rFonts w:ascii="仿宋_GB2312" w:hAnsi="仿宋_GB2312" w:cs="仿宋_GB2312" w:eastAsia="仿宋_GB2312"/>
                <w:sz w:val="18"/>
                <w:color w:val="000000"/>
              </w:rPr>
              <w:t>）、《陕西省建设工程工程量清单计价费率》及其配套计价文件；</w:t>
            </w:r>
          </w:p>
          <w:p>
            <w:pPr>
              <w:pStyle w:val="null3"/>
              <w:ind w:firstLine="560"/>
              <w:jc w:val="both"/>
            </w:pPr>
            <w:r>
              <w:rPr>
                <w:rFonts w:ascii="仿宋_GB2312" w:hAnsi="仿宋_GB2312" w:cs="仿宋_GB2312" w:eastAsia="仿宋_GB2312"/>
                <w:sz w:val="18"/>
                <w:color w:val="000000"/>
              </w:rPr>
              <w:t>3、施工设计图、招标文件、工程量清单及答疑纪要；</w:t>
            </w:r>
          </w:p>
          <w:p>
            <w:pPr>
              <w:pStyle w:val="null3"/>
              <w:ind w:firstLine="560"/>
              <w:jc w:val="both"/>
            </w:pPr>
            <w:r>
              <w:rPr>
                <w:rFonts w:ascii="仿宋_GB2312" w:hAnsi="仿宋_GB2312" w:cs="仿宋_GB2312" w:eastAsia="仿宋_GB2312"/>
                <w:sz w:val="18"/>
                <w:color w:val="000000"/>
              </w:rPr>
              <w:t>4、与建设工程项目有关的标准、规范、技术资料；</w:t>
            </w:r>
          </w:p>
          <w:p>
            <w:pPr>
              <w:pStyle w:val="null3"/>
              <w:ind w:firstLine="560"/>
              <w:jc w:val="both"/>
            </w:pPr>
            <w:r>
              <w:rPr>
                <w:rFonts w:ascii="仿宋_GB2312" w:hAnsi="仿宋_GB2312" w:cs="仿宋_GB2312" w:eastAsia="仿宋_GB2312"/>
                <w:sz w:val="18"/>
                <w:color w:val="000000"/>
              </w:rPr>
              <w:t>5、现场情况及常规的施工组织及方案；</w:t>
            </w:r>
          </w:p>
          <w:p>
            <w:pPr>
              <w:pStyle w:val="null3"/>
              <w:ind w:firstLine="560"/>
              <w:jc w:val="left"/>
            </w:pPr>
            <w:r>
              <w:rPr>
                <w:rFonts w:ascii="仿宋_GB2312" w:hAnsi="仿宋_GB2312" w:cs="仿宋_GB2312" w:eastAsia="仿宋_GB2312"/>
                <w:sz w:val="18"/>
                <w:color w:val="000000"/>
              </w:rPr>
              <w:t>6、本工程</w:t>
            </w:r>
            <w:r>
              <w:rPr>
                <w:rFonts w:ascii="仿宋_GB2312" w:hAnsi="仿宋_GB2312" w:cs="仿宋_GB2312" w:eastAsia="仿宋_GB2312"/>
                <w:sz w:val="18"/>
                <w:color w:val="000000"/>
              </w:rPr>
              <w:t>计价程序</w:t>
            </w:r>
            <w:r>
              <w:rPr>
                <w:rFonts w:ascii="仿宋_GB2312" w:hAnsi="仿宋_GB2312" w:cs="仿宋_GB2312" w:eastAsia="仿宋_GB2312"/>
                <w:sz w:val="18"/>
                <w:color w:val="000000"/>
              </w:rPr>
              <w:t>执行</w:t>
            </w:r>
            <w:r>
              <w:rPr>
                <w:rFonts w:ascii="仿宋_GB2312" w:hAnsi="仿宋_GB2312" w:cs="仿宋_GB2312" w:eastAsia="仿宋_GB2312"/>
                <w:sz w:val="18"/>
                <w:color w:val="000000"/>
              </w:rPr>
              <w:t>《</w:t>
            </w:r>
            <w:r>
              <w:rPr>
                <w:rFonts w:ascii="仿宋_GB2312" w:hAnsi="仿宋_GB2312" w:cs="仿宋_GB2312" w:eastAsia="仿宋_GB2312"/>
                <w:sz w:val="18"/>
                <w:color w:val="000000"/>
              </w:rPr>
              <w:t>陕西省建设工程工程量清单计价</w:t>
            </w:r>
            <w:r>
              <w:rPr>
                <w:rFonts w:ascii="仿宋_GB2312" w:hAnsi="仿宋_GB2312" w:cs="仿宋_GB2312" w:eastAsia="仿宋_GB2312"/>
                <w:sz w:val="18"/>
                <w:color w:val="000000"/>
              </w:rPr>
              <w:t>标准及计算标准</w:t>
            </w:r>
            <w:r>
              <w:rPr>
                <w:rFonts w:ascii="仿宋_GB2312" w:hAnsi="仿宋_GB2312" w:cs="仿宋_GB2312" w:eastAsia="仿宋_GB2312"/>
                <w:sz w:val="18"/>
                <w:color w:val="000000"/>
              </w:rPr>
              <w:t>》（</w:t>
            </w:r>
            <w:r>
              <w:rPr>
                <w:rFonts w:ascii="仿宋_GB2312" w:hAnsi="仿宋_GB2312" w:cs="仿宋_GB2312" w:eastAsia="仿宋_GB2312"/>
                <w:sz w:val="18"/>
                <w:color w:val="000000"/>
              </w:rPr>
              <w:t>20</w:t>
            </w:r>
            <w:r>
              <w:rPr>
                <w:rFonts w:ascii="仿宋_GB2312" w:hAnsi="仿宋_GB2312" w:cs="仿宋_GB2312" w:eastAsia="仿宋_GB2312"/>
                <w:sz w:val="18"/>
                <w:color w:val="000000"/>
              </w:rPr>
              <w:t>25</w:t>
            </w:r>
            <w:r>
              <w:rPr>
                <w:rFonts w:ascii="仿宋_GB2312" w:hAnsi="仿宋_GB2312" w:cs="仿宋_GB2312" w:eastAsia="仿宋_GB2312"/>
                <w:sz w:val="18"/>
                <w:color w:val="000000"/>
              </w:rPr>
              <w:t>）</w:t>
            </w:r>
            <w:r>
              <w:rPr>
                <w:rFonts w:ascii="仿宋_GB2312" w:hAnsi="仿宋_GB2312" w:cs="仿宋_GB2312" w:eastAsia="仿宋_GB2312"/>
                <w:sz w:val="18"/>
                <w:color w:val="000000"/>
              </w:rPr>
              <w:t>、综合一类工</w:t>
            </w:r>
            <w:r>
              <w:rPr>
                <w:rFonts w:ascii="仿宋_GB2312" w:hAnsi="仿宋_GB2312" w:cs="仿宋_GB2312" w:eastAsia="仿宋_GB2312"/>
                <w:sz w:val="18"/>
                <w:color w:val="000000"/>
              </w:rPr>
              <w:t>按</w:t>
            </w:r>
            <w:r>
              <w:rPr>
                <w:rFonts w:ascii="仿宋_GB2312" w:hAnsi="仿宋_GB2312" w:cs="仿宋_GB2312" w:eastAsia="仿宋_GB2312"/>
                <w:sz w:val="18"/>
                <w:color w:val="000000"/>
              </w:rPr>
              <w:t>155元/工日，土建</w:t>
            </w:r>
            <w:r>
              <w:rPr>
                <w:rFonts w:ascii="仿宋_GB2312" w:hAnsi="仿宋_GB2312" w:cs="仿宋_GB2312" w:eastAsia="仿宋_GB2312"/>
                <w:sz w:val="18"/>
                <w:color w:val="000000"/>
              </w:rPr>
              <w:t>综合</w:t>
            </w:r>
            <w:r>
              <w:rPr>
                <w:rFonts w:ascii="仿宋_GB2312" w:hAnsi="仿宋_GB2312" w:cs="仿宋_GB2312" w:eastAsia="仿宋_GB2312"/>
                <w:sz w:val="18"/>
                <w:color w:val="000000"/>
              </w:rPr>
              <w:t>二</w:t>
            </w:r>
            <w:r>
              <w:rPr>
                <w:rFonts w:ascii="仿宋_GB2312" w:hAnsi="仿宋_GB2312" w:cs="仿宋_GB2312" w:eastAsia="仿宋_GB2312"/>
                <w:sz w:val="18"/>
                <w:color w:val="000000"/>
              </w:rPr>
              <w:t>类工</w:t>
            </w:r>
            <w:r>
              <w:rPr>
                <w:rFonts w:ascii="仿宋_GB2312" w:hAnsi="仿宋_GB2312" w:cs="仿宋_GB2312" w:eastAsia="仿宋_GB2312"/>
                <w:sz w:val="18"/>
                <w:color w:val="000000"/>
              </w:rPr>
              <w:t>按</w:t>
            </w:r>
            <w:r>
              <w:rPr>
                <w:rFonts w:ascii="仿宋_GB2312" w:hAnsi="仿宋_GB2312" w:cs="仿宋_GB2312" w:eastAsia="仿宋_GB2312"/>
                <w:sz w:val="18"/>
                <w:color w:val="000000"/>
              </w:rPr>
              <w:t>190元/工日，安装</w:t>
            </w:r>
            <w:r>
              <w:rPr>
                <w:rFonts w:ascii="仿宋_GB2312" w:hAnsi="仿宋_GB2312" w:cs="仿宋_GB2312" w:eastAsia="仿宋_GB2312"/>
                <w:sz w:val="18"/>
                <w:color w:val="000000"/>
              </w:rPr>
              <w:t>综合</w:t>
            </w:r>
            <w:r>
              <w:rPr>
                <w:rFonts w:ascii="仿宋_GB2312" w:hAnsi="仿宋_GB2312" w:cs="仿宋_GB2312" w:eastAsia="仿宋_GB2312"/>
                <w:sz w:val="18"/>
                <w:color w:val="000000"/>
              </w:rPr>
              <w:t>二</w:t>
            </w:r>
            <w:r>
              <w:rPr>
                <w:rFonts w:ascii="仿宋_GB2312" w:hAnsi="仿宋_GB2312" w:cs="仿宋_GB2312" w:eastAsia="仿宋_GB2312"/>
                <w:sz w:val="18"/>
                <w:color w:val="000000"/>
              </w:rPr>
              <w:t>类工</w:t>
            </w:r>
            <w:r>
              <w:rPr>
                <w:rFonts w:ascii="仿宋_GB2312" w:hAnsi="仿宋_GB2312" w:cs="仿宋_GB2312" w:eastAsia="仿宋_GB2312"/>
                <w:sz w:val="18"/>
                <w:color w:val="000000"/>
              </w:rPr>
              <w:t>按</w:t>
            </w:r>
            <w:r>
              <w:rPr>
                <w:rFonts w:ascii="仿宋_GB2312" w:hAnsi="仿宋_GB2312" w:cs="仿宋_GB2312" w:eastAsia="仿宋_GB2312"/>
                <w:sz w:val="18"/>
                <w:color w:val="000000"/>
              </w:rPr>
              <w:t>186元/工日，</w:t>
            </w:r>
            <w:r>
              <w:rPr>
                <w:rFonts w:ascii="仿宋_GB2312" w:hAnsi="仿宋_GB2312" w:cs="仿宋_GB2312" w:eastAsia="仿宋_GB2312"/>
                <w:sz w:val="18"/>
                <w:color w:val="000000"/>
              </w:rPr>
              <w:t>综合</w:t>
            </w:r>
            <w:r>
              <w:rPr>
                <w:rFonts w:ascii="仿宋_GB2312" w:hAnsi="仿宋_GB2312" w:cs="仿宋_GB2312" w:eastAsia="仿宋_GB2312"/>
                <w:sz w:val="18"/>
                <w:color w:val="000000"/>
              </w:rPr>
              <w:t>三</w:t>
            </w:r>
            <w:r>
              <w:rPr>
                <w:rFonts w:ascii="仿宋_GB2312" w:hAnsi="仿宋_GB2312" w:cs="仿宋_GB2312" w:eastAsia="仿宋_GB2312"/>
                <w:sz w:val="18"/>
                <w:color w:val="000000"/>
              </w:rPr>
              <w:t>类工</w:t>
            </w:r>
            <w:r>
              <w:rPr>
                <w:rFonts w:ascii="仿宋_GB2312" w:hAnsi="仿宋_GB2312" w:cs="仿宋_GB2312" w:eastAsia="仿宋_GB2312"/>
                <w:sz w:val="18"/>
                <w:color w:val="000000"/>
              </w:rPr>
              <w:t>按</w:t>
            </w:r>
            <w:r>
              <w:rPr>
                <w:rFonts w:ascii="仿宋_GB2312" w:hAnsi="仿宋_GB2312" w:cs="仿宋_GB2312" w:eastAsia="仿宋_GB2312"/>
                <w:sz w:val="18"/>
                <w:color w:val="000000"/>
              </w:rPr>
              <w:t>215元/工日；</w:t>
            </w:r>
          </w:p>
          <w:p>
            <w:pPr>
              <w:pStyle w:val="null3"/>
              <w:ind w:firstLine="560"/>
              <w:jc w:val="both"/>
            </w:pPr>
            <w:r>
              <w:rPr>
                <w:rFonts w:ascii="仿宋_GB2312" w:hAnsi="仿宋_GB2312" w:cs="仿宋_GB2312" w:eastAsia="仿宋_GB2312"/>
                <w:sz w:val="18"/>
                <w:color w:val="000000"/>
              </w:rPr>
              <w:t>7、主要材料价格依据</w:t>
            </w:r>
            <w:r>
              <w:rPr>
                <w:rFonts w:ascii="仿宋_GB2312" w:hAnsi="仿宋_GB2312" w:cs="仿宋_GB2312" w:eastAsia="仿宋_GB2312"/>
                <w:sz w:val="18"/>
                <w:color w:val="000000"/>
              </w:rPr>
              <w:t>《</w:t>
            </w:r>
            <w:r>
              <w:rPr>
                <w:rFonts w:ascii="仿宋_GB2312" w:hAnsi="仿宋_GB2312" w:cs="仿宋_GB2312" w:eastAsia="仿宋_GB2312"/>
                <w:sz w:val="18"/>
                <w:color w:val="000000"/>
              </w:rPr>
              <w:t>渭南信息价</w:t>
            </w:r>
            <w:r>
              <w:rPr>
                <w:rFonts w:ascii="仿宋_GB2312" w:hAnsi="仿宋_GB2312" w:cs="仿宋_GB2312" w:eastAsia="仿宋_GB2312"/>
                <w:sz w:val="18"/>
                <w:color w:val="000000"/>
              </w:rPr>
              <w:t>》</w:t>
            </w:r>
            <w:r>
              <w:rPr>
                <w:rFonts w:ascii="仿宋_GB2312" w:hAnsi="仿宋_GB2312" w:cs="仿宋_GB2312" w:eastAsia="仿宋_GB2312"/>
                <w:sz w:val="18"/>
                <w:color w:val="000000"/>
              </w:rPr>
              <w:t>2025年第二期，富平信息价没有的</w:t>
            </w:r>
            <w:r>
              <w:rPr>
                <w:rFonts w:ascii="仿宋_GB2312" w:hAnsi="仿宋_GB2312" w:cs="仿宋_GB2312" w:eastAsia="仿宋_GB2312"/>
                <w:sz w:val="18"/>
                <w:color w:val="000000"/>
              </w:rPr>
              <w:t>材料</w:t>
            </w:r>
            <w:r>
              <w:rPr>
                <w:rFonts w:ascii="仿宋_GB2312" w:hAnsi="仿宋_GB2312" w:cs="仿宋_GB2312" w:eastAsia="仿宋_GB2312"/>
                <w:sz w:val="18"/>
                <w:color w:val="000000"/>
              </w:rPr>
              <w:t>按</w:t>
            </w:r>
            <w:r>
              <w:rPr>
                <w:rFonts w:ascii="仿宋_GB2312" w:hAnsi="仿宋_GB2312" w:cs="仿宋_GB2312" w:eastAsia="仿宋_GB2312"/>
                <w:sz w:val="18"/>
                <w:color w:val="000000"/>
              </w:rPr>
              <w:t>市场价</w:t>
            </w:r>
            <w:r>
              <w:rPr>
                <w:rFonts w:ascii="仿宋_GB2312" w:hAnsi="仿宋_GB2312" w:cs="仿宋_GB2312" w:eastAsia="仿宋_GB2312"/>
                <w:sz w:val="18"/>
                <w:color w:val="000000"/>
              </w:rPr>
              <w:t>计入；</w:t>
            </w:r>
          </w:p>
          <w:p>
            <w:pPr>
              <w:pStyle w:val="null3"/>
              <w:jc w:val="both"/>
            </w:pPr>
            <w:r>
              <w:rPr>
                <w:rFonts w:ascii="仿宋_GB2312" w:hAnsi="仿宋_GB2312" w:cs="仿宋_GB2312" w:eastAsia="仿宋_GB2312"/>
                <w:sz w:val="18"/>
                <w:color w:val="000000"/>
              </w:rPr>
              <w:t xml:space="preserve">    8、工程量清单计价软件使用“</w:t>
            </w:r>
            <w:r>
              <w:rPr>
                <w:rFonts w:ascii="仿宋_GB2312" w:hAnsi="仿宋_GB2312" w:cs="仿宋_GB2312" w:eastAsia="仿宋_GB2312"/>
                <w:sz w:val="18"/>
                <w:color w:val="000000"/>
              </w:rPr>
              <w:t>广联达云计价平台</w:t>
            </w:r>
            <w:r>
              <w:rPr>
                <w:rFonts w:ascii="仿宋_GB2312" w:hAnsi="仿宋_GB2312" w:cs="仿宋_GB2312" w:eastAsia="仿宋_GB2312"/>
                <w:sz w:val="18"/>
                <w:color w:val="000000"/>
              </w:rPr>
              <w:t>GCCP7.0-7.5000.23.1</w:t>
            </w:r>
            <w:r>
              <w:rPr>
                <w:rFonts w:ascii="仿宋_GB2312" w:hAnsi="仿宋_GB2312" w:cs="仿宋_GB2312" w:eastAsia="仿宋_GB2312"/>
                <w:sz w:val="18"/>
                <w:color w:val="000000"/>
              </w:rPr>
              <w:t>”。</w:t>
            </w:r>
          </w:p>
          <w:p>
            <w:pPr>
              <w:pStyle w:val="null3"/>
              <w:jc w:val="both"/>
            </w:pPr>
            <w:r>
              <w:drawing>
                <wp:inline distT="0" distR="0" distB="0" distL="0">
                  <wp:extent cx="1621155" cy="2293939"/>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2293939"/>
                          </a:xfrm>
                          <a:prstGeom prst="rect">
                            <a:avLst/>
                          </a:prstGeom>
                        </pic:spPr>
                      </pic:pic>
                    </a:graphicData>
                  </a:graphic>
                </wp:inline>
              </w:drawing>
            </w:r>
            <w:r>
              <w:drawing>
                <wp:inline distT="0" distR="0" distB="0" distL="0">
                  <wp:extent cx="1621155" cy="2293939"/>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2293939"/>
                          </a:xfrm>
                          <a:prstGeom prst="rect">
                            <a:avLst/>
                          </a:prstGeom>
                        </pic:spPr>
                      </pic:pic>
                    </a:graphicData>
                  </a:graphic>
                </wp:inline>
              </w:drawing>
            </w:r>
            <w:r>
              <w:drawing>
                <wp:inline distT="0" distR="0" distB="0" distL="0">
                  <wp:extent cx="1621155" cy="2293939"/>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2293939"/>
                          </a:xfrm>
                          <a:prstGeom prst="rect">
                            <a:avLst/>
                          </a:prstGeom>
                        </pic:spPr>
                      </pic:pic>
                    </a:graphicData>
                  </a:graphic>
                </wp:inline>
              </w:drawing>
            </w:r>
          </w:p>
        </w:tc>
      </w:tr>
    </w:tbl>
    <w:p>
      <w:pPr>
        <w:pStyle w:val="null3"/>
        <w:ind w:firstLine="480"/>
      </w:pPr>
      <w:r>
        <w:rPr>
          <w:rFonts w:ascii="仿宋_GB2312" w:hAnsi="仿宋_GB2312" w:cs="仿宋_GB2312" w:eastAsia="仿宋_GB2312"/>
        </w:rPr>
        <w:t>二、供应商针对本项目的施工，必须达到国家及行业现行技术规范标准，符合国家及行业验收合格标准：</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三、针对本项目的其他技术服务要求：</w:t>
      </w:r>
    </w:p>
    <w:p>
      <w:pPr>
        <w:pStyle w:val="null3"/>
      </w:pPr>
      <w:r>
        <w:rPr>
          <w:rFonts w:ascii="仿宋_GB2312" w:hAnsi="仿宋_GB2312" w:cs="仿宋_GB2312" w:eastAsia="仿宋_GB2312"/>
        </w:rPr>
        <w:t>1、计划工期：60日历天(计划开、竣工日期以施工合同签订时间为准)；2、付款方式：施工合同签订后七日内付至合同价款的30%作为预付款，施工完成验收合格后付至合同价款的80%，待工程决算审计报告双方签字盖章认可后，付至审计价款的97%，剩余3%缺陷责任期满后一次性付清。</w:t>
      </w:r>
    </w:p>
    <w:p>
      <w:pPr>
        <w:pStyle w:val="null3"/>
        <w:ind w:firstLine="480"/>
      </w:pPr>
      <w:r>
        <w:rPr>
          <w:rFonts w:ascii="仿宋_GB2312" w:hAnsi="仿宋_GB2312" w:cs="仿宋_GB2312" w:eastAsia="仿宋_GB2312"/>
        </w:rPr>
        <w:t>四、工程量清单（详见附件）</w:t>
      </w:r>
    </w:p>
    <w:p>
      <w:pPr>
        <w:pStyle w:val="null3"/>
        <w:ind w:firstLine="480"/>
      </w:pPr>
      <w:r>
        <w:rPr>
          <w:rFonts w:ascii="仿宋_GB2312" w:hAnsi="仿宋_GB2312" w:cs="仿宋_GB2312" w:eastAsia="仿宋_GB2312"/>
        </w:rPr>
        <w:t xml:space="preserve"> （说明：工程量清单应当结合《政府采购需求管理办法》（财库〔2021〕22号）第六条第二款规定，明确相关性能、材料、结构、外观、安全、标准等。）</w:t>
      </w:r>
    </w:p>
    <w:p>
      <w:pPr>
        <w:pStyle w:val="null3"/>
        <w:outlineLvl w:val="2"/>
      </w:pPr>
      <w:r>
        <w:rPr>
          <w:rFonts w:ascii="仿宋_GB2312" w:hAnsi="仿宋_GB2312" w:cs="仿宋_GB2312" w:eastAsia="仿宋_GB2312"/>
          <w:sz w:val="28"/>
          <w:b/>
        </w:rPr>
        <w:t>3.2商务要求（说明：由采购人依据项目具体需求制定）</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序号</w:t>
            </w:r>
          </w:p>
        </w:tc>
        <w:tc>
          <w:tcPr>
            <w:tcW w:type="dxa" w:w="2769"/>
          </w:tcPr>
          <w:p>
            <w:pPr>
              <w:pStyle w:val="null3"/>
            </w:pPr>
            <w:r>
              <w:rPr>
                <w:rFonts w:ascii="仿宋_GB2312" w:hAnsi="仿宋_GB2312" w:cs="仿宋_GB2312" w:eastAsia="仿宋_GB2312"/>
              </w:rPr>
              <w:t>项目</w:t>
            </w:r>
          </w:p>
        </w:tc>
        <w:tc>
          <w:tcPr>
            <w:tcW w:type="dxa" w:w="2769"/>
          </w:tcPr>
          <w:p>
            <w:pPr>
              <w:pStyle w:val="null3"/>
            </w:pPr>
            <w:r>
              <w:rPr>
                <w:rFonts w:ascii="仿宋_GB2312" w:hAnsi="仿宋_GB2312" w:cs="仿宋_GB2312" w:eastAsia="仿宋_GB2312"/>
              </w:rPr>
              <w:t>要求</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项目负责人（项目经理）</w:t>
            </w:r>
          </w:p>
        </w:tc>
        <w:tc>
          <w:tcPr>
            <w:tcW w:type="dxa" w:w="2769"/>
          </w:tcPr>
          <w:p>
            <w:pPr>
              <w:pStyle w:val="null3"/>
            </w:pPr>
            <w:r>
              <w:rPr>
                <w:rFonts w:ascii="仿宋_GB2312" w:hAnsi="仿宋_GB2312" w:cs="仿宋_GB2312" w:eastAsia="仿宋_GB2312"/>
              </w:rPr>
              <w:t>具体要求详见资格审查条款</w:t>
            </w:r>
          </w:p>
        </w:tc>
      </w:tr>
    </w:tbl>
    <w:p>
      <w:pPr>
        <w:pStyle w:val="null3"/>
        <w:outlineLvl w:val="3"/>
      </w:pPr>
      <w:r>
        <w:rPr>
          <w:rFonts w:ascii="仿宋_GB2312" w:hAnsi="仿宋_GB2312" w:cs="仿宋_GB2312" w:eastAsia="仿宋_GB2312"/>
          <w:sz w:val="24"/>
          <w:b/>
        </w:rPr>
        <w:t>说明：</w:t>
      </w:r>
    </w:p>
    <w:p>
      <w:pPr>
        <w:pStyle w:val="null3"/>
        <w:ind w:firstLine="480"/>
      </w:pPr>
      <w:r>
        <w:rPr>
          <w:rFonts w:ascii="仿宋_GB2312" w:hAnsi="仿宋_GB2312" w:cs="仿宋_GB2312" w:eastAsia="仿宋_GB2312"/>
        </w:rPr>
        <w:t>1.对于不允许偏离的实质性要求和条件，采购人或者代理机构应当在磋商文件中规定，并以醒目的方式标明。</w:t>
      </w:r>
    </w:p>
    <w:p>
      <w:pPr>
        <w:pStyle w:val="null3"/>
        <w:ind w:firstLine="480"/>
      </w:pPr>
      <w:r>
        <w:rPr>
          <w:rFonts w:ascii="仿宋_GB2312" w:hAnsi="仿宋_GB2312" w:cs="仿宋_GB2312" w:eastAsia="仿宋_GB2312"/>
        </w:rPr>
        <w:t xml:space="preserve"> 2.除相关法律或行政法规或规章要求供应商在响应或磋商阶段提供检测报告的，不得要求供应商在响应、磋商阶段提供检测报告，如确实需要检测报告，可要求供应商承诺在签订合同阶段或项目实施阶段提供。</w:t>
      </w:r>
    </w:p>
    <w:p>
      <w:pPr>
        <w:pStyle w:val="null3"/>
        <w:ind w:firstLine="480"/>
      </w:pPr>
      <w:r>
        <w:rPr>
          <w:rFonts w:ascii="仿宋_GB2312" w:hAnsi="仿宋_GB2312" w:cs="仿宋_GB2312" w:eastAsia="仿宋_GB2312"/>
        </w:rPr>
        <w:t xml:space="preserve"> 3.若要求供应商提供相关人员的职业资格的，不得要求提供除现行《国家职业资格目录》以外的职业资格，不得以不合理条件对供应商实行差别待遇或者歧视性待遇。</w:t>
      </w:r>
    </w:p>
    <w:p>
      <w:pPr>
        <w:pStyle w:val="null3"/>
        <w:outlineLvl w:val="2"/>
      </w:pPr>
      <w:r>
        <w:rPr>
          <w:rFonts w:ascii="仿宋_GB2312" w:hAnsi="仿宋_GB2312" w:cs="仿宋_GB2312" w:eastAsia="仿宋_GB2312"/>
          <w:sz w:val="28"/>
          <w:b/>
        </w:rPr>
        <w:t>3.3其他要求</w:t>
      </w:r>
    </w:p>
    <w:p>
      <w:pPr>
        <w:pStyle w:val="null3"/>
      </w:pPr>
      <w:r>
        <w:rPr>
          <w:rFonts w:ascii="仿宋_GB2312" w:hAnsi="仿宋_GB2312" w:cs="仿宋_GB2312" w:eastAsia="仿宋_GB2312"/>
        </w:rPr>
        <w:t>1、投标时供应商无需提供纸质版响应文件。成交供应商在领取成交通知书前将纸质版响应文件正本1份、副本2份、电子版（U 盘）文件1份，打印盖章后提交至采购代理公司处，以便采购人进行留存备案等工作，成交供应商应保持响应文件纸质版内容与电子版内容完全一致，否则将承担一切法律责任。纸质版响应文件一律采用书籍（胶装）方式装订且单面或双面打印。2、落实政府采购政策需满足的资格要求：（1）《节能产品政府采购实施意见》（财库〔2004〕185号）；（2）《国务院办公厅关于建立政府强制采购节能产品制度的通知》（国办发〔2007〕51号）；（3）《财政部司法部关于政府采购支持监狱企业发展有关问题的通知》（财库〔2014〕68号）；（4）三部门联合发布《关于促进残疾人就业政府采购政策的通知》（财库〔2017〕141号）；（5）《财政部发展改革委生态环境部市场监管总局关于调整优化节能产品、环境标志产品政府采购执行机制的通知》（财库〔2019〕9号）；（6）陕西省财政厅关于印发《陕西省中小企业政府采购信用融资办法》 （陕财办采〔2018〕23号）；（7）《陕西省财政厅关于加快推进我省中小企业政府采购信用融资工作的通知》（陕财办采〔2020〕15号）；（8）《政府采购促进中小企业发展管理办法》（财库〔2020〕46号）；（9）《关于进一步加大政府采购支持中小企业力度的通知》（财库〔2022〕19号）；（10）《财政部 农业农村部 国家乡村振兴局关于运用政府采购政策支持乡村产业振兴的通知》（财库〔2021〕19号）；（11）陕西省财政厅《关于进一步加强政府绿色采购有关问题的通知》（陕财办〔2021〕29号）；（12）《关于促进政府采购公平竞争优化营商环境的通知》（财库〔2019〕38号）；（13）《陕西省财政厅关于进一步落实政府采购支持中小企业相关政策的通知》（陕财办采〔2023〕3号）；（14）《陕西省财政厅关于进一步优化政府采购营商环境有关事项的通知》（陕财办采〔2023〕4号）。</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资格审查资料.docx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资格审查资料.docx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参与的供应商（联合体）工程的施工单位全部为符合政策要求的中小企业。</w:t>
            </w:r>
          </w:p>
        </w:tc>
        <w:tc>
          <w:tcPr>
            <w:tcW w:type="dxa" w:w="1661"/>
          </w:tcPr>
          <w:p>
            <w:pPr>
              <w:pStyle w:val="null3"/>
            </w:pPr>
            <w:r>
              <w:rPr>
                <w:rFonts w:ascii="仿宋_GB2312" w:hAnsi="仿宋_GB2312" w:cs="仿宋_GB2312" w:eastAsia="仿宋_GB2312"/>
              </w:rPr>
              <w:t>中小企业声明函 资格审查资料.docx</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法定代表人授权委托书（附法定代表人、被授权人身份证复印件）；法定代表人参加投标只须提供法定代表人身份证明（附法定代表人身份证复印件）</w:t>
            </w:r>
          </w:p>
        </w:tc>
        <w:tc>
          <w:tcPr>
            <w:tcW w:type="dxa" w:w="3322"/>
          </w:tcPr>
          <w:p>
            <w:pPr>
              <w:pStyle w:val="null3"/>
            </w:pPr>
            <w:r>
              <w:rPr>
                <w:rFonts w:ascii="仿宋_GB2312" w:hAnsi="仿宋_GB2312" w:cs="仿宋_GB2312" w:eastAsia="仿宋_GB2312"/>
              </w:rPr>
              <w:t>法定代表人授权委托书（附法定代表人、被授权人身份证复印件）；法定代表人参加投标只须提供法定代表人身份证明（附法定代表人身份证复印件）；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合法注册的企业提供营业执照（有统一社会信用代码）并附企业年度报告；事业法人提供事业单位法人证书、组织机构代码证书；其他组织应提供合法证明文件；自然人提供身份证</w:t>
            </w:r>
          </w:p>
        </w:tc>
        <w:tc>
          <w:tcPr>
            <w:tcW w:type="dxa" w:w="3322"/>
          </w:tcPr>
          <w:p>
            <w:pPr>
              <w:pStyle w:val="null3"/>
            </w:pPr>
            <w:r>
              <w:rPr>
                <w:rFonts w:ascii="仿宋_GB2312" w:hAnsi="仿宋_GB2312" w:cs="仿宋_GB2312" w:eastAsia="仿宋_GB2312"/>
              </w:rPr>
              <w:t>合法注册的企业提供营业执照（有统一社会信用代码）并附企业年度报告；事业法人提供事业单位法人证书、组织机构代码证书；其他组织应提供合法证明文件；自然人提供身份证；</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具备市政公用工程施工总承包三级及以上资质</w:t>
            </w:r>
          </w:p>
        </w:tc>
        <w:tc>
          <w:tcPr>
            <w:tcW w:type="dxa" w:w="3322"/>
          </w:tcPr>
          <w:p>
            <w:pPr>
              <w:pStyle w:val="null3"/>
            </w:pPr>
            <w:r>
              <w:rPr>
                <w:rFonts w:ascii="仿宋_GB2312" w:hAnsi="仿宋_GB2312" w:cs="仿宋_GB2312" w:eastAsia="仿宋_GB2312"/>
              </w:rPr>
              <w:t>具备市政公用工程施工总承包三级及以上资质；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具有建设行政主管部门核发有效的安全生产许可证</w:t>
            </w:r>
          </w:p>
        </w:tc>
        <w:tc>
          <w:tcPr>
            <w:tcW w:type="dxa" w:w="3322"/>
          </w:tcPr>
          <w:p>
            <w:pPr>
              <w:pStyle w:val="null3"/>
            </w:pPr>
            <w:r>
              <w:rPr>
                <w:rFonts w:ascii="仿宋_GB2312" w:hAnsi="仿宋_GB2312" w:cs="仿宋_GB2312" w:eastAsia="仿宋_GB2312"/>
              </w:rPr>
              <w:t>具有建设行政主管部门核发有效的安全生产许可证；</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拟派项目经理具备市政公用工程注册建造师二级及以上资格和有效的安全生产考核合格证书，提供项目经理无在建工程的相关证明材料或承诺书</w:t>
            </w:r>
          </w:p>
        </w:tc>
        <w:tc>
          <w:tcPr>
            <w:tcW w:type="dxa" w:w="3322"/>
          </w:tcPr>
          <w:p>
            <w:pPr>
              <w:pStyle w:val="null3"/>
            </w:pPr>
            <w:r>
              <w:rPr>
                <w:rFonts w:ascii="仿宋_GB2312" w:hAnsi="仿宋_GB2312" w:cs="仿宋_GB2312" w:eastAsia="仿宋_GB2312"/>
              </w:rPr>
              <w:t>拟派项目经理具备市政公用工程注册建造师二级及以上资格和有效的安全生产考核合格证书，提供项目经理无在建工程的相关证明材料或承诺书；</w:t>
            </w:r>
          </w:p>
        </w:tc>
        <w:tc>
          <w:tcPr>
            <w:tcW w:type="dxa" w:w="1661"/>
          </w:tcPr>
          <w:p>
            <w:pPr>
              <w:pStyle w:val="null3"/>
            </w:pPr>
            <w:r>
              <w:rPr>
                <w:rFonts w:ascii="仿宋_GB2312" w:hAnsi="仿宋_GB2312" w:cs="仿宋_GB2312" w:eastAsia="仿宋_GB2312"/>
              </w:rPr>
              <w:t>项目管理机构组成表 资格审查资料.docx 主要人员简历表</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3322"/>
          </w:tcPr>
          <w:p>
            <w:pPr>
              <w:pStyle w:val="null3"/>
            </w:pPr>
            <w:r>
              <w:rPr>
                <w:rFonts w:ascii="仿宋_GB2312" w:hAnsi="仿宋_GB2312" w:cs="仿宋_GB2312" w:eastAsia="仿宋_GB2312"/>
              </w:rPr>
              <w:t>提供2024年经审计的财务报告（成立时间至提交磋商响应文件截止时间不足一年的可提供成立后任意时段的财务报表）；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提供依法缴纳税收的良好记录（提供递交磋商响应文件截止时间前六个月内任意一个月份的缴纳凭据复印件并加盖单位公章。依法免税或开标前一年内零申报的供应商应提供相关证明文件）</w:t>
            </w:r>
          </w:p>
        </w:tc>
        <w:tc>
          <w:tcPr>
            <w:tcW w:type="dxa" w:w="3322"/>
          </w:tcPr>
          <w:p>
            <w:pPr>
              <w:pStyle w:val="null3"/>
            </w:pPr>
            <w:r>
              <w:rPr>
                <w:rFonts w:ascii="仿宋_GB2312" w:hAnsi="仿宋_GB2312" w:cs="仿宋_GB2312" w:eastAsia="仿宋_GB2312"/>
              </w:rPr>
              <w:t>提供依法缴纳税收的良好记录（提供递交磋商响应文件截止时间前六个月内任意一个月份的缴纳凭据复印件并加盖单位公章。依法免税或开标前一年内零申报的供应商应提供相关证明文件）；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提供依法缴纳社会保障资金的良好记录（提供递交磋商响应文件截止时间前六个月内任意一个月份的缴纳凭据复印件并加盖单位公章。依法不需要缴纳社会保障资金的供应商应提供相关证明文件）</w:t>
            </w:r>
          </w:p>
        </w:tc>
        <w:tc>
          <w:tcPr>
            <w:tcW w:type="dxa" w:w="3322"/>
          </w:tcPr>
          <w:p>
            <w:pPr>
              <w:pStyle w:val="null3"/>
            </w:pPr>
            <w:r>
              <w:rPr>
                <w:rFonts w:ascii="仿宋_GB2312" w:hAnsi="仿宋_GB2312" w:cs="仿宋_GB2312" w:eastAsia="仿宋_GB2312"/>
              </w:rPr>
              <w:t>提供依法缴纳社会保障资金的良好记录（提供递交磋商响应文件截止时间前六个月内任意一个月份的缴纳凭据复印件并加盖单位公章。依法不需要缴纳社会保障资金的供应商应提供相关证明文件）；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tc>
        <w:tc>
          <w:tcPr>
            <w:tcW w:type="dxa" w:w="3322"/>
          </w:tcPr>
          <w:p>
            <w:pPr>
              <w:pStyle w:val="null3"/>
            </w:pPr>
            <w:r>
              <w:rPr>
                <w:rFonts w:ascii="仿宋_GB2312" w:hAnsi="仿宋_GB2312" w:cs="仿宋_GB2312" w:eastAsia="仿宋_GB2312"/>
              </w:rPr>
              <w:t>a.投标截止日前不得为“信用中国”网站（www.creditchina.gov.cn）中列入失信被执行人、重大税收违法失信主体和政府采购严重违法失信行为记录名单的供应商；b.不得为“中国政府采购网”（www.ccgp.gov.cn）中政府采购严重违法失信行为信息记录名单中被财政部门禁止参加政府采购活动的供应商。附网站相关截图并加盖单位公章（最终以采购代理机构开标现场查询结果为准）；</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提供近三年内在经营活动中无重大违法记录的书面声明</w:t>
            </w:r>
          </w:p>
        </w:tc>
        <w:tc>
          <w:tcPr>
            <w:tcW w:type="dxa" w:w="3322"/>
          </w:tcPr>
          <w:p>
            <w:pPr>
              <w:pStyle w:val="null3"/>
            </w:pPr>
            <w:r>
              <w:rPr>
                <w:rFonts w:ascii="仿宋_GB2312" w:hAnsi="仿宋_GB2312" w:cs="仿宋_GB2312" w:eastAsia="仿宋_GB2312"/>
              </w:rPr>
              <w:t>提供近三年内在经营活动中无重大违法记录的书面声明；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 xml:space="preserve"> a.提供磋商保证金转账凭证和基本存款账户信息证明资料复印件或扫描件；b.提供金融机构、担保机构出具的保函复印件或扫描件。以上两种方式二选一，复印件或扫描件均须加盖公章</w:t>
            </w:r>
          </w:p>
        </w:tc>
        <w:tc>
          <w:tcPr>
            <w:tcW w:type="dxa" w:w="3322"/>
          </w:tcPr>
          <w:p>
            <w:pPr>
              <w:pStyle w:val="null3"/>
            </w:pPr>
            <w:r>
              <w:rPr>
                <w:rFonts w:ascii="仿宋_GB2312" w:hAnsi="仿宋_GB2312" w:cs="仿宋_GB2312" w:eastAsia="仿宋_GB2312"/>
              </w:rPr>
              <w:t xml:space="preserve"> a.提供磋商保证金转账凭证和基本存款账户信息证明资料复印件或扫描件；b.提供金融机构、担保机构出具的保函复印件或扫描件。以上两种方式二选一，复印件或扫描件均须加盖公章；</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12</w:t>
            </w:r>
          </w:p>
        </w:tc>
        <w:tc>
          <w:tcPr>
            <w:tcW w:type="dxa" w:w="249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332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13</w:t>
            </w:r>
          </w:p>
        </w:tc>
        <w:tc>
          <w:tcPr>
            <w:tcW w:type="dxa" w:w="2492"/>
          </w:tcPr>
          <w:p>
            <w:pPr>
              <w:pStyle w:val="null3"/>
            </w:pPr>
            <w:r>
              <w:rPr>
                <w:rFonts w:ascii="仿宋_GB2312" w:hAnsi="仿宋_GB2312" w:cs="仿宋_GB2312" w:eastAsia="仿宋_GB2312"/>
              </w:rPr>
              <w:t>提供具有履行本合同所必需的设备和专业技术能力的说明及承诺</w:t>
            </w:r>
          </w:p>
        </w:tc>
        <w:tc>
          <w:tcPr>
            <w:tcW w:type="dxa" w:w="3322"/>
          </w:tcPr>
          <w:p>
            <w:pPr>
              <w:pStyle w:val="null3"/>
            </w:pPr>
            <w:r>
              <w:rPr>
                <w:rFonts w:ascii="仿宋_GB2312" w:hAnsi="仿宋_GB2312" w:cs="仿宋_GB2312" w:eastAsia="仿宋_GB2312"/>
              </w:rPr>
              <w:t>提供具有履行本合同所必需的设备和专业技术能力的说明及承诺。</w:t>
            </w:r>
          </w:p>
        </w:tc>
        <w:tc>
          <w:tcPr>
            <w:tcW w:type="dxa" w:w="1661"/>
          </w:tcPr>
          <w:p>
            <w:pPr>
              <w:pStyle w:val="null3"/>
            </w:pPr>
            <w:r>
              <w:rPr>
                <w:rFonts w:ascii="仿宋_GB2312" w:hAnsi="仿宋_GB2312" w:cs="仿宋_GB2312" w:eastAsia="仿宋_GB2312"/>
              </w:rPr>
              <w:t>资格审查资料.docx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ind w:firstLine="480"/>
      </w:pPr>
      <w:r>
        <w:rPr>
          <w:rFonts w:ascii="仿宋_GB2312" w:hAnsi="仿宋_GB2312" w:cs="仿宋_GB2312" w:eastAsia="仿宋_GB2312"/>
        </w:rPr>
        <w:t>注：工程量清单不属于磋商过程中可以实质性变动的内容。</w:t>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制度，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供应商通过证书加盖其电子印章后生效。出现无法在线签章的特殊情况，评审委员会成员可以线下签署评审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三、磋商小组按照磋商文件规定的磋商程序、评审方法和标准进行评审，并独立履行下列职责：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出现上述应当停止评审情形的，磋商小组应当通过项目电子化交易系统向采购人提交情况说明。除上述情形外，磋商小组不得以任何方式和理由停止评审。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一、磋商开始前，磋商小组对供应商首次提交的响应文件（包括报价）进行审查，审查内容为磋商文件不允许实质性变动的实质性要求，不符合实质性要求或应当作无效响应处理的，作无效响应处理。</w:t>
      </w:r>
    </w:p>
    <w:p>
      <w:pPr>
        <w:pStyle w:val="null3"/>
        <w:ind w:firstLine="480"/>
      </w:pPr>
      <w:r>
        <w:rPr>
          <w:rFonts w:ascii="仿宋_GB2312" w:hAnsi="仿宋_GB2312" w:cs="仿宋_GB2312" w:eastAsia="仿宋_GB2312"/>
        </w:rPr>
        <w:t>二、磋商小组对供应商已标价工程量清单进行算术性复核，如果出现下列不一致的，按以下原则进行修正：</w:t>
      </w:r>
    </w:p>
    <w:p>
      <w:pPr>
        <w:pStyle w:val="null3"/>
        <w:ind w:firstLine="480"/>
      </w:pPr>
      <w:r>
        <w:rPr>
          <w:rFonts w:ascii="仿宋_GB2312" w:hAnsi="仿宋_GB2312" w:cs="仿宋_GB2312" w:eastAsia="仿宋_GB2312"/>
        </w:rPr>
        <w:t xml:space="preserve"> （一）报价大写金额和小写金额不一致的，以大写金额为准。但大写金额文字存在错误的，应当先对大写金额的文字错误进行澄清、说明或者更正，再行修正。</w:t>
      </w:r>
    </w:p>
    <w:p>
      <w:pPr>
        <w:pStyle w:val="null3"/>
        <w:ind w:firstLine="480"/>
      </w:pPr>
      <w:r>
        <w:rPr>
          <w:rFonts w:ascii="仿宋_GB2312" w:hAnsi="仿宋_GB2312" w:cs="仿宋_GB2312" w:eastAsia="仿宋_GB2312"/>
        </w:rPr>
        <w:t xml:space="preserve"> （二）总价金额与依据单价（或费率）计算出的结果不一致的，以单价（或费率）为准修正总价，但单价（或费率）小数点有明显错误的除外（包括但不限于工程量清单、单位工程汇总表、单项工程汇总表、报价汇总表）。</w:t>
      </w:r>
    </w:p>
    <w:p>
      <w:pPr>
        <w:pStyle w:val="null3"/>
        <w:ind w:firstLine="480"/>
      </w:pPr>
      <w:r>
        <w:rPr>
          <w:rFonts w:ascii="仿宋_GB2312" w:hAnsi="仿宋_GB2312" w:cs="仿宋_GB2312" w:eastAsia="仿宋_GB2312"/>
        </w:rPr>
        <w:t xml:space="preserve"> 修正后的报价经供应商确认后产生约束力，供应商不确认的，其响应文件作为无效处理。供应商确认采取书面方式并经供应商授权代表签字。磋商小组不得未经书面形式要求供应商确认，直接将供应商响应文件作为无效处理。</w:t>
      </w:r>
    </w:p>
    <w:p>
      <w:pPr>
        <w:pStyle w:val="null3"/>
        <w:ind w:firstLine="480"/>
      </w:pPr>
      <w:r>
        <w:rPr>
          <w:rFonts w:ascii="仿宋_GB2312" w:hAnsi="仿宋_GB2312" w:cs="仿宋_GB2312" w:eastAsia="仿宋_GB2312"/>
        </w:rPr>
        <w:t xml:space="preserve"> 三、在符合性审查过程中，如果出现磋商小组成员意见不一致的情况，按照少数服从多数的原则确定，但不得违背政府采购基本原则和磋商文件规定。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四、磋商小组对所有响应文件进行审查后，确定参加磋商的供应商名单。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 xml:space="preserve"> 1.磋商小组认为供应商的报价明显低于其他实质性响应的供应商报价，有可能影响工程质量或者不能诚信履约的，应当要求其在合理的时间内提供书面说明，必要时提交相关证明材料；供应商不能证明其报价合理性的，磋商小组应当将其作为无效响应处理。 2.供应商通过项目电子化交易系统在磋商小组要求的合理时间内提交说明，否则无效。</w:t>
            </w:r>
          </w:p>
        </w:tc>
        <w:tc>
          <w:tcPr>
            <w:tcW w:type="dxa" w:w="1661"/>
          </w:tcPr>
          <w:p>
            <w:pPr>
              <w:pStyle w:val="null3"/>
            </w:pPr>
            <w:r>
              <w:rPr>
                <w:rFonts w:ascii="仿宋_GB2312" w:hAnsi="仿宋_GB2312" w:cs="仿宋_GB2312" w:eastAsia="仿宋_GB2312"/>
              </w:rPr>
              <w:t>已标价工程量清单 报价函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供应商名称</w:t>
            </w:r>
          </w:p>
        </w:tc>
        <w:tc>
          <w:tcPr>
            <w:tcW w:type="dxa" w:w="3322"/>
          </w:tcPr>
          <w:p>
            <w:pPr>
              <w:pStyle w:val="null3"/>
            </w:pPr>
            <w:r>
              <w:rPr>
                <w:rFonts w:ascii="仿宋_GB2312" w:hAnsi="仿宋_GB2312" w:cs="仿宋_GB2312" w:eastAsia="仿宋_GB2312"/>
              </w:rPr>
              <w:t>与营业执照一致</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付款方式</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承诺书.docx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计划工期</w:t>
            </w:r>
          </w:p>
        </w:tc>
        <w:tc>
          <w:tcPr>
            <w:tcW w:type="dxa" w:w="3322"/>
          </w:tcPr>
          <w:p>
            <w:pPr>
              <w:pStyle w:val="null3"/>
            </w:pPr>
            <w:r>
              <w:rPr>
                <w:rFonts w:ascii="仿宋_GB2312" w:hAnsi="仿宋_GB2312" w:cs="仿宋_GB2312" w:eastAsia="仿宋_GB2312"/>
              </w:rPr>
              <w:t>符合或优于磋商文件要求</w:t>
            </w:r>
          </w:p>
        </w:tc>
        <w:tc>
          <w:tcPr>
            <w:tcW w:type="dxa" w:w="1661"/>
          </w:tcPr>
          <w:p>
            <w:pPr>
              <w:pStyle w:val="null3"/>
            </w:pPr>
            <w:r>
              <w:rPr>
                <w:rFonts w:ascii="仿宋_GB2312" w:hAnsi="仿宋_GB2312" w:cs="仿宋_GB2312" w:eastAsia="仿宋_GB2312"/>
              </w:rPr>
              <w:t>报价函 标的清单 承诺书.docx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磋商报价</w:t>
            </w:r>
          </w:p>
        </w:tc>
        <w:tc>
          <w:tcPr>
            <w:tcW w:type="dxa" w:w="3322"/>
          </w:tcPr>
          <w:p>
            <w:pPr>
              <w:pStyle w:val="null3"/>
            </w:pPr>
            <w:r>
              <w:rPr>
                <w:rFonts w:ascii="仿宋_GB2312" w:hAnsi="仿宋_GB2312" w:cs="仿宋_GB2312" w:eastAsia="仿宋_GB2312"/>
              </w:rPr>
              <w:t>磋商报价不得高于本项目最高限价</w:t>
            </w:r>
          </w:p>
        </w:tc>
        <w:tc>
          <w:tcPr>
            <w:tcW w:type="dxa" w:w="1661"/>
          </w:tcPr>
          <w:p>
            <w:pPr>
              <w:pStyle w:val="null3"/>
            </w:pPr>
            <w:r>
              <w:rPr>
                <w:rFonts w:ascii="仿宋_GB2312" w:hAnsi="仿宋_GB2312" w:cs="仿宋_GB2312" w:eastAsia="仿宋_GB2312"/>
              </w:rPr>
              <w:t>已标价工程量清单 报价函 标的清单</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响应文件有效性</w:t>
            </w:r>
          </w:p>
        </w:tc>
        <w:tc>
          <w:tcPr>
            <w:tcW w:type="dxa" w:w="3322"/>
          </w:tcPr>
          <w:p>
            <w:pPr>
              <w:pStyle w:val="null3"/>
            </w:pPr>
            <w:r>
              <w:rPr>
                <w:rFonts w:ascii="仿宋_GB2312" w:hAnsi="仿宋_GB2312" w:cs="仿宋_GB2312" w:eastAsia="仿宋_GB2312"/>
              </w:rPr>
              <w:t>响应文件的签署、加盖印章合格、有效</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响应文件有效期</w:t>
            </w:r>
          </w:p>
        </w:tc>
        <w:tc>
          <w:tcPr>
            <w:tcW w:type="dxa" w:w="3322"/>
          </w:tcPr>
          <w:p>
            <w:pPr>
              <w:pStyle w:val="null3"/>
            </w:pPr>
            <w:r>
              <w:rPr>
                <w:rFonts w:ascii="仿宋_GB2312" w:hAnsi="仿宋_GB2312" w:cs="仿宋_GB2312" w:eastAsia="仿宋_GB2312"/>
              </w:rPr>
              <w:t>符合或优于磋商文件要求</w:t>
            </w:r>
          </w:p>
        </w:tc>
        <w:tc>
          <w:tcPr>
            <w:tcW w:type="dxa" w:w="1661"/>
          </w:tcPr>
          <w:p>
            <w:pPr>
              <w:pStyle w:val="null3"/>
            </w:pPr>
            <w:r>
              <w:rPr>
                <w:rFonts w:ascii="仿宋_GB2312" w:hAnsi="仿宋_GB2312" w:cs="仿宋_GB2312" w:eastAsia="仿宋_GB2312"/>
              </w:rPr>
              <w:t>承诺书.docx 响应函</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其他磋商文件或法律法规明确规定响应无效的事项</w:t>
            </w:r>
          </w:p>
        </w:tc>
        <w:tc>
          <w:tcPr>
            <w:tcW w:type="dxa" w:w="3322"/>
          </w:tcPr>
          <w:p>
            <w:pPr>
              <w:pStyle w:val="null3"/>
            </w:pPr>
            <w:r>
              <w:rPr>
                <w:rFonts w:ascii="仿宋_GB2312" w:hAnsi="仿宋_GB2312" w:cs="仿宋_GB2312" w:eastAsia="仿宋_GB2312"/>
              </w:rPr>
              <w:t>无其他磋商文件或法律法规明确规定响应无效的事项</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供应商类似项目业绩一览表 资格审查资料.docx 响应函 主要人员简历表 陕西省政府采购供应商拒绝政府采购领域商业贿赂承诺书.docx 监狱企业的证明文件</w:t>
            </w:r>
          </w:p>
        </w:tc>
      </w:tr>
    </w:tbl>
    <w:p>
      <w:pPr>
        <w:pStyle w:val="null3"/>
        <w:outlineLvl w:val="3"/>
      </w:pPr>
      <w:r>
        <w:rPr>
          <w:rFonts w:ascii="仿宋_GB2312" w:hAnsi="仿宋_GB2312" w:cs="仿宋_GB2312" w:eastAsia="仿宋_GB2312"/>
          <w:sz w:val="24"/>
          <w:b/>
        </w:rPr>
        <w:t xml:space="preserve"> 6.3.3磋商</w:t>
      </w:r>
    </w:p>
    <w:p>
      <w:pPr>
        <w:pStyle w:val="null3"/>
        <w:ind w:firstLine="480"/>
      </w:pPr>
      <w:r>
        <w:rPr>
          <w:rFonts w:ascii="仿宋_GB2312" w:hAnsi="仿宋_GB2312" w:cs="仿宋_GB2312" w:eastAsia="仿宋_GB2312"/>
        </w:rPr>
        <w:t xml:space="preserve"> 一、磋商小组所有成员集中与单一供应商分别进行一轮或多轮磋商，并给予所有参加磋商的供应商平等的磋商机会。磋商顺序由磋商小组组长以在线抽签的方式确定。磋商过程中，磋商小组可以根据磋商情况调整磋商轮次。</w:t>
      </w:r>
    </w:p>
    <w:p>
      <w:pPr>
        <w:pStyle w:val="null3"/>
        <w:ind w:firstLine="480"/>
      </w:pPr>
      <w:r>
        <w:rPr>
          <w:rFonts w:ascii="仿宋_GB2312" w:hAnsi="仿宋_GB2312" w:cs="仿宋_GB2312" w:eastAsia="仿宋_GB2312"/>
        </w:rPr>
        <w:t>二、每轮磋商开始前，磋商小组应根据磋商文件的规定，并结合各供应商的响应文件拟定磋商内容。</w:t>
      </w:r>
    </w:p>
    <w:p>
      <w:pPr>
        <w:pStyle w:val="null3"/>
        <w:ind w:firstLine="480"/>
      </w:pPr>
      <w:r>
        <w:rPr>
          <w:rFonts w:ascii="仿宋_GB2312" w:hAnsi="仿宋_GB2312" w:cs="仿宋_GB2312" w:eastAsia="仿宋_GB2312"/>
        </w:rPr>
        <w:t xml:space="preserve"> 三、在磋商过程中，磋商小组在获得采购人代表确认的前提下，可以根据磋商文件第三章“磋商项目技术、服务、商务及其他要求”、第八章“拟签订的合同文本”规定的可实质性变动内容和磋商情况实质性变动磋商文件的技术、服务要求以及合同草案条款，但不得变动磋商文件中的其他内容。</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六、经最终磋商后，响应文件仍有下列情况之一的，应按照无效响应文件处理：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终止本次采购活动。</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 xml:space="preserve"> （五）若采用项目包干价的，供应商直接给出其完成本项目全部工作内容所需的总价，不再提供已标价工程量清单（报价格式要求见第七章）。</w:t>
      </w:r>
    </w:p>
    <w:p>
      <w:pPr>
        <w:pStyle w:val="null3"/>
        <w:ind w:firstLine="480"/>
      </w:pPr>
      <w:r>
        <w:rPr>
          <w:rFonts w:ascii="仿宋_GB2312" w:hAnsi="仿宋_GB2312" w:cs="仿宋_GB2312" w:eastAsia="仿宋_GB2312"/>
        </w:rPr>
        <w:t xml:space="preserve"> （六）若采用项目单价的，首次响应文件中的报价以已标价工程量清单报价。供应商最后报价采用基于首次响应文件的报价下浮一定比例的方式进行报价。</w:t>
      </w:r>
    </w:p>
    <w:p>
      <w:pPr>
        <w:pStyle w:val="null3"/>
        <w:ind w:firstLine="480"/>
      </w:pPr>
      <w:r>
        <w:rPr>
          <w:rFonts w:ascii="仿宋_GB2312" w:hAnsi="仿宋_GB2312" w:cs="仿宋_GB2312" w:eastAsia="仿宋_GB2312"/>
        </w:rPr>
        <w:t xml:space="preserve"> （七）若采用采购人固定价的，供应商的报价应当按照磋商文件中确定了的采购项目采购价格进行报价，不得增加或者减少，否则其报价无效，其响应文件应当作为无效处理。供应商最后报价应当以全部响应磋商文件及磋商过程中变更的实质性要求为前提，最后报价应当与首次报价一致，否则作为无效处理（报价格式要求见第七章）。</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说明或者更正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由磋商小组采用综合评分法对提交最后报价的供应商的响应文件和最后报价进行综合评分，具体要求详见本章评审办法及标准部分。</w:t>
      </w:r>
    </w:p>
    <w:p>
      <w:pPr>
        <w:pStyle w:val="null3"/>
        <w:outlineLvl w:val="3"/>
      </w:pPr>
      <w:r>
        <w:rPr>
          <w:rFonts w:ascii="仿宋_GB2312" w:hAnsi="仿宋_GB2312" w:cs="仿宋_GB2312" w:eastAsia="仿宋_GB2312"/>
          <w:sz w:val="24"/>
          <w:b/>
        </w:rPr>
        <w:t xml:space="preserve"> 6.3.7推荐成交候选供应商</w:t>
      </w:r>
    </w:p>
    <w:p>
      <w:pPr>
        <w:pStyle w:val="null3"/>
        <w:ind w:firstLine="480"/>
      </w:pPr>
      <w:r>
        <w:rPr>
          <w:rFonts w:ascii="仿宋_GB2312" w:hAnsi="仿宋_GB2312" w:cs="仿宋_GB2312" w:eastAsia="仿宋_GB2312"/>
        </w:rPr>
        <w:t>磋商小组应当根据综合评分情况，按照评审得分由高到低顺序推荐如下家数的成交候选供应商，并编写磋商报告。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6.3.8磋商小组复核</w:t>
      </w:r>
    </w:p>
    <w:p>
      <w:pPr>
        <w:pStyle w:val="null3"/>
        <w:ind w:firstLine="480"/>
      </w:pPr>
      <w:r>
        <w:rPr>
          <w:rFonts w:ascii="仿宋_GB2312" w:hAnsi="仿宋_GB2312" w:cs="仿宋_GB2312" w:eastAsia="仿宋_GB2312"/>
        </w:rPr>
        <w:t xml:space="preserve"> 磋商小组评分汇总结束后，磋商小组应当进行评审复核，对拟推荐为成交候选供应商的、报价最低的、供应商响应文件作无效处理的重点复核。</w:t>
      </w:r>
    </w:p>
    <w:p>
      <w:pPr>
        <w:pStyle w:val="null3"/>
        <w:outlineLvl w:val="3"/>
      </w:pPr>
      <w:r>
        <w:rPr>
          <w:rFonts w:ascii="仿宋_GB2312" w:hAnsi="仿宋_GB2312" w:cs="仿宋_GB2312" w:eastAsia="仿宋_GB2312"/>
          <w:sz w:val="24"/>
          <w:b/>
        </w:rPr>
        <w:t>6.3.9代理机构现场复核评审结果</w:t>
      </w:r>
    </w:p>
    <w:p>
      <w:pPr>
        <w:pStyle w:val="null3"/>
        <w:ind w:firstLine="480"/>
      </w:pPr>
      <w:r>
        <w:rPr>
          <w:rFonts w:ascii="仿宋_GB2312" w:hAnsi="仿宋_GB2312" w:cs="仿宋_GB2312" w:eastAsia="仿宋_GB2312"/>
        </w:rPr>
        <w:t xml:space="preserve"> 一、评审结果汇总完成后，磋商小组拟出具磋商磋商报告前，代理机构应当组织2名以上的本单位工作人员，在采购现场监督人员的监督之下，依据有关的法律制度和磋商文件对评审结果进行复核，出具复核报告，存在下列情形之一的，代理机构应当根据情况通过项目电子化交易系统建议磋商小组现场修改评审结果。存在本条上述情形的，由磋商小组自主决定是否采纳代理机构的建议，并承担独立评审责任。</w:t>
      </w:r>
    </w:p>
    <w:p>
      <w:pPr>
        <w:pStyle w:val="null3"/>
        <w:ind w:firstLine="480"/>
      </w:pPr>
      <w:r>
        <w:rPr>
          <w:rFonts w:ascii="仿宋_GB2312" w:hAnsi="仿宋_GB2312" w:cs="仿宋_GB2312" w:eastAsia="仿宋_GB2312"/>
        </w:rPr>
        <w:t xml:space="preserve"> 二、磋商小组采纳代理机构建议的，应当按照规定现场通过项目电子化交易系统修改评审结果或者重新评审，并在磋商报告中详细记载有关事宜；不采纳代理机构建议的，应当说明理由。代理机构建议未被磋商小组采纳的，应当按照规定程序要求继续组织实施采购活动，不得擅自中止采购活动。代理机构认为磋商小组评审结果不合法的，应当书面报告采购项目同级财政部门。</w:t>
      </w:r>
    </w:p>
    <w:p>
      <w:pPr>
        <w:pStyle w:val="null3"/>
        <w:ind w:firstLine="480"/>
      </w:pPr>
      <w:r>
        <w:rPr>
          <w:rFonts w:ascii="仿宋_GB2312" w:hAnsi="仿宋_GB2312" w:cs="仿宋_GB2312" w:eastAsia="仿宋_GB2312"/>
        </w:rPr>
        <w:t>三、代理机构复核过程中，磋商小组成员不得离开评审现场。</w:t>
      </w:r>
    </w:p>
    <w:p>
      <w:pPr>
        <w:pStyle w:val="null3"/>
        <w:outlineLvl w:val="3"/>
      </w:pPr>
      <w:r>
        <w:rPr>
          <w:rFonts w:ascii="仿宋_GB2312" w:hAnsi="仿宋_GB2312" w:cs="仿宋_GB2312" w:eastAsia="仿宋_GB2312"/>
          <w:sz w:val="24"/>
          <w:b/>
        </w:rPr>
        <w:t>6.3.10编写磋商报告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6.3.11评审争议处理规则</w:t>
      </w:r>
    </w:p>
    <w:p>
      <w:pPr>
        <w:pStyle w:val="null3"/>
        <w:ind w:firstLine="480"/>
      </w:pPr>
      <w:r>
        <w:rPr>
          <w:rFonts w:ascii="仿宋_GB2312" w:hAnsi="仿宋_GB2312" w:cs="仿宋_GB2312" w:eastAsia="仿宋_GB2312"/>
        </w:rPr>
        <w:t xml:space="preserve"> 磋商小组在评审过程中，对于资格审查、符合性审查、对供应商响应文件做无效处理及其他需要共同认定的事项存在争议的，应当以少数服从多数的原则做出结论，但不得违背法律法规和磋商文件规定。有不同意见的磋商小组成员认为认定过程和结果不符合法律法规或者磋商文件规定的，应当在磋商报告中予以反映。</w:t>
      </w:r>
    </w:p>
    <w:p>
      <w:pPr>
        <w:pStyle w:val="null3"/>
        <w:outlineLvl w:val="3"/>
      </w:pPr>
      <w:r>
        <w:rPr>
          <w:rFonts w:ascii="仿宋_GB2312" w:hAnsi="仿宋_GB2312" w:cs="仿宋_GB2312" w:eastAsia="仿宋_GB2312"/>
          <w:sz w:val="24"/>
          <w:b/>
        </w:rPr>
        <w:t>6.3.12终止磋商采购活动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三、在采购过程中符合要求的供应商或者报价未超过采购预算及最高限价的供应商不足3家的；</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一、磋商小组根据磋商文件的要求采用相同的评审程序、评分办法及标准进行评价和比较。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ind w:firstLine="480"/>
      </w:pPr>
      <w:r>
        <w:rPr>
          <w:rFonts w:ascii="仿宋_GB2312" w:hAnsi="仿宋_GB2312" w:cs="仿宋_GB2312" w:eastAsia="仿宋_GB2312"/>
        </w:rPr>
        <w:t>一、本次综合评分的因素详见综合评分明细表。</w:t>
      </w:r>
    </w:p>
    <w:p>
      <w:pPr>
        <w:pStyle w:val="null3"/>
        <w:ind w:firstLine="480"/>
      </w:pPr>
      <w:r>
        <w:rPr>
          <w:rFonts w:ascii="仿宋_GB2312" w:hAnsi="仿宋_GB2312" w:cs="仿宋_GB2312" w:eastAsia="仿宋_GB2312"/>
        </w:rPr>
        <w:t>二、综合评分明细表</w:t>
      </w:r>
    </w:p>
    <w:p>
      <w:pPr>
        <w:pStyle w:val="null3"/>
        <w:ind w:firstLine="480"/>
      </w:pPr>
      <w:r>
        <w:rPr>
          <w:rFonts w:ascii="仿宋_GB2312" w:hAnsi="仿宋_GB2312" w:cs="仿宋_GB2312" w:eastAsia="仿宋_GB2312"/>
        </w:rPr>
        <w:t>（一）综合评分明细表的制定以科学合理、降低磋商小组自由裁量权为原则。</w:t>
      </w:r>
    </w:p>
    <w:p>
      <w:pPr>
        <w:pStyle w:val="null3"/>
        <w:ind w:firstLine="480"/>
      </w:pPr>
      <w:r>
        <w:rPr>
          <w:rFonts w:ascii="仿宋_GB2312" w:hAnsi="仿宋_GB2312" w:cs="仿宋_GB2312" w:eastAsia="仿宋_GB2312"/>
        </w:rPr>
        <w:t>（二）综合评分明细表中的报价应先按供应商须知附表中的相关要求进行价格调整，再进行报价评分。</w:t>
      </w:r>
    </w:p>
    <w:p>
      <w:pPr>
        <w:pStyle w:val="null3"/>
        <w:ind w:firstLine="480"/>
      </w:pPr>
      <w:r>
        <w:rPr>
          <w:rFonts w:ascii="仿宋_GB2312" w:hAnsi="仿宋_GB2312" w:cs="仿宋_GB2312" w:eastAsia="仿宋_GB2312"/>
        </w:rPr>
        <w:t>（三）综合评分明细表：</w:t>
      </w:r>
    </w:p>
    <w:p>
      <w:pPr>
        <w:pStyle w:val="null3"/>
        <w:ind w:firstLine="480"/>
      </w:pPr>
      <w:r>
        <w:rPr>
          <w:rFonts w:ascii="仿宋_GB2312" w:hAnsi="仿宋_GB2312" w:cs="仿宋_GB2312" w:eastAsia="仿宋_GB2312"/>
        </w:rPr>
        <w:t xml:space="preserve"> （说明：采购人根据项目实际需要设置评审因素和标准，评审标准中的分值设置应当与评审因素的量化指标相对应。）</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确保工程质量的技术组织措施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确保安全生产的技术组织措施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确保文明施工及环境保护的技术组织措施</w:t>
            </w:r>
          </w:p>
        </w:tc>
        <w:tc>
          <w:tcPr>
            <w:tcW w:type="dxa" w:w="2492"/>
          </w:tcPr>
          <w:p>
            <w:pPr>
              <w:pStyle w:val="null3"/>
            </w:pPr>
            <w:r>
              <w:rPr>
                <w:rFonts w:ascii="仿宋_GB2312" w:hAnsi="仿宋_GB2312" w:cs="仿宋_GB2312" w:eastAsia="仿宋_GB2312"/>
              </w:rPr>
              <w:t xml:space="preserve"> 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确保工期的技术组织措施附（网络图或施工进度计划表或横道图）</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施工方案</w:t>
            </w:r>
          </w:p>
        </w:tc>
        <w:tc>
          <w:tcPr>
            <w:tcW w:type="dxa" w:w="2492"/>
          </w:tcPr>
          <w:p>
            <w:pPr>
              <w:pStyle w:val="null3"/>
            </w:pPr>
            <w:r>
              <w:rPr>
                <w:rFonts w:ascii="仿宋_GB2312" w:hAnsi="仿宋_GB2312" w:cs="仿宋_GB2312" w:eastAsia="仿宋_GB2312"/>
              </w:rPr>
              <w:t xml:space="preserve"> ①编制详细、较完整、切实可行的得15分； ②编制比较详细、基本可行的得10分； ③编制粗略、可行性欠缺的得5分； 未提供不得分。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施工机械设备配备计划及劳动力配备计划</w:t>
            </w:r>
          </w:p>
        </w:tc>
        <w:tc>
          <w:tcPr>
            <w:tcW w:type="dxa" w:w="2492"/>
          </w:tcPr>
          <w:p>
            <w:pPr>
              <w:pStyle w:val="null3"/>
            </w:pPr>
            <w:r>
              <w:rPr>
                <w:rFonts w:ascii="仿宋_GB2312" w:hAnsi="仿宋_GB2312" w:cs="仿宋_GB2312" w:eastAsia="仿宋_GB2312"/>
              </w:rPr>
              <w:t>①编制详细、较合理、切实可行的得6分；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企业类似业绩</w:t>
            </w:r>
          </w:p>
        </w:tc>
        <w:tc>
          <w:tcPr>
            <w:tcW w:type="dxa" w:w="2492"/>
          </w:tcPr>
          <w:p>
            <w:pPr>
              <w:pStyle w:val="null3"/>
            </w:pPr>
            <w:r>
              <w:rPr>
                <w:rFonts w:ascii="仿宋_GB2312" w:hAnsi="仿宋_GB2312" w:cs="仿宋_GB2312" w:eastAsia="仿宋_GB2312"/>
              </w:rPr>
              <w:t>近三年完成的类似业绩一项得2分，最多得6分（提供2022年9月1日至今类似工程；投标文件中须附类似工程业绩中标通知书或合同协议书或竣工验收证明材料复印件或扫描件，并加盖公章）。</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供应商类似项目业绩一览表</w:t>
            </w:r>
          </w:p>
        </w:tc>
      </w:tr>
      <w:tr>
        <w:tc>
          <w:tcPr>
            <w:tcW w:type="dxa" w:w="831"/>
            <w:vMerge/>
          </w:tcPr>
          <w:p/>
        </w:tc>
        <w:tc>
          <w:tcPr>
            <w:tcW w:type="dxa" w:w="1661"/>
          </w:tcPr>
          <w:p>
            <w:pPr>
              <w:pStyle w:val="null3"/>
            </w:pPr>
            <w:r>
              <w:rPr>
                <w:rFonts w:ascii="仿宋_GB2312" w:hAnsi="仿宋_GB2312" w:cs="仿宋_GB2312" w:eastAsia="仿宋_GB2312"/>
              </w:rPr>
              <w:t>承诺（对农民工工资、不转包、不分包等的承诺）</w:t>
            </w:r>
          </w:p>
        </w:tc>
        <w:tc>
          <w:tcPr>
            <w:tcW w:type="dxa" w:w="2492"/>
          </w:tcPr>
          <w:p>
            <w:pPr>
              <w:pStyle w:val="null3"/>
            </w:pPr>
            <w:r>
              <w:rPr>
                <w:rFonts w:ascii="仿宋_GB2312" w:hAnsi="仿宋_GB2312" w:cs="仿宋_GB2312" w:eastAsia="仿宋_GB2312"/>
              </w:rPr>
              <w:t>根据供应商做出的承诺内容进行赋分： ①编制内容详细、完整的得3分； ②编制内容基本完整的得2分； 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承诺书.docx</w:t>
            </w:r>
          </w:p>
        </w:tc>
      </w:tr>
      <w:tr>
        <w:tc>
          <w:tcPr>
            <w:tcW w:type="dxa" w:w="831"/>
            <w:vMerge/>
          </w:tcPr>
          <w:p/>
        </w:tc>
        <w:tc>
          <w:tcPr>
            <w:tcW w:type="dxa" w:w="1661"/>
          </w:tcPr>
          <w:p>
            <w:pPr>
              <w:pStyle w:val="null3"/>
            </w:pPr>
            <w:r>
              <w:rPr>
                <w:rFonts w:ascii="仿宋_GB2312" w:hAnsi="仿宋_GB2312" w:cs="仿宋_GB2312" w:eastAsia="仿宋_GB2312"/>
              </w:rPr>
              <w:t>项目经理</w:t>
            </w:r>
          </w:p>
        </w:tc>
        <w:tc>
          <w:tcPr>
            <w:tcW w:type="dxa" w:w="2492"/>
          </w:tcPr>
          <w:p>
            <w:pPr>
              <w:pStyle w:val="null3"/>
            </w:pPr>
            <w:r>
              <w:rPr>
                <w:rFonts w:ascii="仿宋_GB2312" w:hAnsi="仿宋_GB2312" w:cs="仿宋_GB2312" w:eastAsia="仿宋_GB2312"/>
              </w:rPr>
              <w:t>A.近三年完成的业绩一项得1分，最多得2分（2022 年 9 月 1 日至今类似工程：须附工程业绩中标通知书或合同专用条款或竣工验收证明材料复印件或扫描件，并加盖公章）； B.具有相关专业高级工程师及以上职称得 2分，具有工程师职称得 1 分；否则不得分（以职称证为准）。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p>
            <w:pPr>
              <w:pStyle w:val="null3"/>
            </w:pPr>
            <w:r>
              <w:rPr>
                <w:rFonts w:ascii="仿宋_GB2312" w:hAnsi="仿宋_GB2312" w:cs="仿宋_GB2312" w:eastAsia="仿宋_GB2312"/>
              </w:rPr>
              <w:t>资格审查资料.docx</w:t>
            </w:r>
          </w:p>
        </w:tc>
      </w:tr>
      <w:tr>
        <w:tc>
          <w:tcPr>
            <w:tcW w:type="dxa" w:w="831"/>
            <w:vMerge/>
          </w:tcPr>
          <w:p/>
        </w:tc>
        <w:tc>
          <w:tcPr>
            <w:tcW w:type="dxa" w:w="1661"/>
          </w:tcPr>
          <w:p>
            <w:pPr>
              <w:pStyle w:val="null3"/>
            </w:pPr>
            <w:r>
              <w:rPr>
                <w:rFonts w:ascii="仿宋_GB2312" w:hAnsi="仿宋_GB2312" w:cs="仿宋_GB2312" w:eastAsia="仿宋_GB2312"/>
              </w:rPr>
              <w:t>技术负责人</w:t>
            </w:r>
          </w:p>
        </w:tc>
        <w:tc>
          <w:tcPr>
            <w:tcW w:type="dxa" w:w="2492"/>
          </w:tcPr>
          <w:p>
            <w:pPr>
              <w:pStyle w:val="null3"/>
            </w:pPr>
            <w:r>
              <w:rPr>
                <w:rFonts w:ascii="仿宋_GB2312" w:hAnsi="仿宋_GB2312" w:cs="仿宋_GB2312" w:eastAsia="仿宋_GB2312"/>
              </w:rPr>
              <w:t>具有相关专业高级工程师及以上职称得 2 分，具有工程师职称得 1 分；否则不得分（以职称证为准）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vMerge/>
          </w:tcPr>
          <w:p/>
        </w:tc>
        <w:tc>
          <w:tcPr>
            <w:tcW w:type="dxa" w:w="1661"/>
          </w:tcPr>
          <w:p>
            <w:pPr>
              <w:pStyle w:val="null3"/>
            </w:pPr>
            <w:r>
              <w:rPr>
                <w:rFonts w:ascii="仿宋_GB2312" w:hAnsi="仿宋_GB2312" w:cs="仿宋_GB2312" w:eastAsia="仿宋_GB2312"/>
              </w:rPr>
              <w:t>项目机构组成</w:t>
            </w:r>
          </w:p>
        </w:tc>
        <w:tc>
          <w:tcPr>
            <w:tcW w:type="dxa" w:w="2492"/>
          </w:tcPr>
          <w:p>
            <w:pPr>
              <w:pStyle w:val="null3"/>
            </w:pPr>
            <w:r>
              <w:rPr>
                <w:rFonts w:ascii="仿宋_GB2312" w:hAnsi="仿宋_GB2312" w:cs="仿宋_GB2312" w:eastAsia="仿宋_GB2312"/>
              </w:rPr>
              <w:t>具有五大员（质量员、安全员、施工员、材料员、资料员）上岗证书（安全员须含安全生产考核合格证）的每证得1分；有相应职称证（初级及以上均可）的每证加1分，共计10分。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①评标基准价的确定：经对各供应商资格审查合格后，将有效投标价格最低的作为评标基准价，此项得满分；投标报价大于预算价的，为无效报价，应作为无效标处理；最低得分为零分。 ②根据下列公式计算出各供应商的投标报价与评标基准价的差异率。 其他供应商报价得分=（评标基准价／投标报价）×30%×100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报价函</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已标价工程量清单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6.6评审专家在政府采购活动中承担以下义务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6.7评审专家在政府采购活动中应当遵守以下工作纪律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详见附件：报价函</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详见附件：已标价工程量清单</w:t>
      </w:r>
    </w:p>
    <w:p>
      <w:pPr>
        <w:pStyle w:val="null3"/>
        <w:ind w:firstLine="960"/>
      </w:pPr>
      <w:r>
        <w:rPr>
          <w:rFonts w:ascii="仿宋_GB2312" w:hAnsi="仿宋_GB2312" w:cs="仿宋_GB2312" w:eastAsia="仿宋_GB2312"/>
        </w:rPr>
        <w:t>详见附件：磋商方案及施工组织设计.docx</w:t>
      </w:r>
    </w:p>
    <w:p>
      <w:pPr>
        <w:pStyle w:val="null3"/>
        <w:ind w:firstLine="960"/>
      </w:pPr>
      <w:r>
        <w:rPr>
          <w:rFonts w:ascii="仿宋_GB2312" w:hAnsi="仿宋_GB2312" w:cs="仿宋_GB2312" w:eastAsia="仿宋_GB2312"/>
        </w:rPr>
        <w:t>详见附件：项目管理机构组成表</w:t>
      </w:r>
    </w:p>
    <w:p>
      <w:pPr>
        <w:pStyle w:val="null3"/>
        <w:ind w:firstLine="960"/>
      </w:pPr>
      <w:r>
        <w:rPr>
          <w:rFonts w:ascii="仿宋_GB2312" w:hAnsi="仿宋_GB2312" w:cs="仿宋_GB2312" w:eastAsia="仿宋_GB2312"/>
        </w:rPr>
        <w:t>详见附件：主要人员简历表</w:t>
      </w:r>
    </w:p>
    <w:p>
      <w:pPr>
        <w:pStyle w:val="null3"/>
        <w:ind w:firstLine="960"/>
      </w:pPr>
      <w:r>
        <w:rPr>
          <w:rFonts w:ascii="仿宋_GB2312" w:hAnsi="仿宋_GB2312" w:cs="仿宋_GB2312" w:eastAsia="仿宋_GB2312"/>
        </w:rPr>
        <w:t>详见附件：供应商类似项目业绩一览表</w:t>
      </w:r>
    </w:p>
    <w:p>
      <w:pPr>
        <w:pStyle w:val="null3"/>
        <w:ind w:firstLine="960"/>
      </w:pPr>
      <w:r>
        <w:rPr>
          <w:rFonts w:ascii="仿宋_GB2312" w:hAnsi="仿宋_GB2312" w:cs="仿宋_GB2312" w:eastAsia="仿宋_GB2312"/>
        </w:rPr>
        <w:t>详见附件：承诺书.docx</w:t>
      </w:r>
    </w:p>
    <w:p>
      <w:pPr>
        <w:pStyle w:val="null3"/>
        <w:ind w:firstLine="960"/>
      </w:pPr>
      <w:r>
        <w:rPr>
          <w:rFonts w:ascii="仿宋_GB2312" w:hAnsi="仿宋_GB2312" w:cs="仿宋_GB2312" w:eastAsia="仿宋_GB2312"/>
        </w:rPr>
        <w:t>详见附件：陕西省政府采购供应商拒绝政府采购领域商业贿赂承诺书.docx</w:t>
      </w:r>
    </w:p>
    <w:p>
      <w:pPr>
        <w:pStyle w:val="null3"/>
        <w:ind w:firstLine="960"/>
      </w:pPr>
      <w:r>
        <w:rPr>
          <w:rFonts w:ascii="仿宋_GB2312" w:hAnsi="仿宋_GB2312" w:cs="仿宋_GB2312" w:eastAsia="仿宋_GB2312"/>
        </w:rPr>
        <w:t>详见附件：资格审查资料.docx</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详见附件：供应商认为有必要说明的其他问题.docx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