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版本号：0617-25A8HZ201920250825001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富平县教育体育局2025-2026学年度大宗食材采购项目（二次）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0617-25A8HZ2019</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富平县教育体育局2025-2026学年度大宗食材采购项目（二次）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0617-25A8HZ2019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富平县教育体育局2025-2026学年度大宗食材采购项目（二次）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西安市南二环西段58号成长大厦11-14层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029-85238494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采购包2：1,250,000.00元</w:t>
            </w:r>
          </w:p>
          <w:p>
            <w:pPr>
              <w:pStyle w:val="null3"/>
            </w:pPr>
            <w:r>
              <w:rPr>
                <w:rFonts w:ascii="仿宋_GB2312" w:hAnsi="仿宋_GB2312" w:cs="仿宋_GB2312" w:eastAsia="仿宋_GB2312"/>
              </w:rPr>
              <w:t>采购包3：1,250,000.00元</w:t>
            </w:r>
          </w:p>
          <w:p>
            <w:pPr>
              <w:pStyle w:val="null3"/>
            </w:pPr>
            <w:r>
              <w:rPr>
                <w:rFonts w:ascii="仿宋_GB2312" w:hAnsi="仿宋_GB2312" w:cs="仿宋_GB2312" w:eastAsia="仿宋_GB2312"/>
              </w:rPr>
              <w:t>采购包4：1,500,000.00元</w:t>
            </w:r>
          </w:p>
          <w:p>
            <w:pPr>
              <w:pStyle w:val="null3"/>
            </w:pPr>
            <w:r>
              <w:rPr>
                <w:rFonts w:ascii="仿宋_GB2312" w:hAnsi="仿宋_GB2312" w:cs="仿宋_GB2312" w:eastAsia="仿宋_GB2312"/>
              </w:rPr>
              <w:t>采购包5：1,500,000.00元</w:t>
            </w:r>
          </w:p>
          <w:p>
            <w:pPr>
              <w:pStyle w:val="null3"/>
            </w:pPr>
            <w:r>
              <w:rPr>
                <w:rFonts w:ascii="仿宋_GB2312" w:hAnsi="仿宋_GB2312" w:cs="仿宋_GB2312" w:eastAsia="仿宋_GB2312"/>
              </w:rPr>
              <w:t>采购包6：700,000.00元</w:t>
            </w:r>
          </w:p>
          <w:p>
            <w:pPr>
              <w:pStyle w:val="null3"/>
            </w:pPr>
            <w:r>
              <w:rPr>
                <w:rFonts w:ascii="仿宋_GB2312" w:hAnsi="仿宋_GB2312" w:cs="仿宋_GB2312" w:eastAsia="仿宋_GB2312"/>
              </w:rPr>
              <w:t>采购包7：700,000.00元</w:t>
            </w:r>
          </w:p>
          <w:p>
            <w:pPr>
              <w:pStyle w:val="null3"/>
            </w:pPr>
            <w:r>
              <w:rPr>
                <w:rFonts w:ascii="仿宋_GB2312" w:hAnsi="仿宋_GB2312" w:cs="仿宋_GB2312" w:eastAsia="仿宋_GB2312"/>
              </w:rPr>
              <w:t>采购包8：700,000.00元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代理服务费收费标准：由中标人按每标段采购预算金额向招标代理机构一次付清招标代理服务费。招标代理服务费的金额以采购预算按照国家发展计划委员会计价格[2002]1980号文件的规定标准计算。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采购包1：大米1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采购包3：小麦粉1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采购包4：小麦粉2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采购包10：纯牛奶3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采购包11：纯牛奶4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采购包16：鸡蛋1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采购包17：鸡蛋2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采购包18：鸡蛋3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标的名称：采购包1：大米1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包装要求：独立包装； 2、质量及规格要求：每袋≥25Kg，粳米一级。质量符合国家标准GB/T1354一级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3、配送周期：自2025年9月起，每两周至少配送1次，禁止每次超量配送，配送数量以学校要求为准，临时货物的配送应按照学校要求执行。进入校园的工作人员要主动接受学校管理。配送有效期不大于1/2质保期。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标的名称：采购包3：小麦粉1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袋≥25Kg。质量符合国家标准GB1355精制粉标准或特制一等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 5、主要用于蒸馒头和做面条。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标的名称：采购包4：小麦粉2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袋≥25Kg。质量符合国家标准GB1355精制粉标准或特制一等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 5、主要用于蒸馒头和做面条。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标的名称：采购包10：纯牛奶3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标的名称：采购包11：纯牛奶4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标的名称：采购包16：鸡蛋1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标的名称：采购包17：鸡蛋2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标的名称：采购包18：鸡蛋3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质量保证期：1年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1、招标文件第五章评标办法 5.4.6确定中标候选人名单所规定“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内容修改为：“采购包1-采购包18：汇总全体评委对每个投标人的赋分，计算出每个投标人的综合得分，按包得分从高到低顺序排列，推荐前3名为中标候选人。得分相同的，按投标报价由低到高顺序排列。评审得分且最后报价相同的，按照技术指标优劣顺序推荐。评审得分且最后报价且技术指标得分均相同的，成交候选供应商并列。评标委员会按照评标包号顺序推荐中标候选人（即采购包1、采购包2、采购包3……采购包18）。如果供应商同时参与了本项目两个或以上包号的投标活动，评标委员会经评审已推荐该供应商为排序在前包号的第一中标候选人，不再推荐其为排序在后包号的中标候选人。经评审后合格供应商除已被推荐为前序包排名第一的中标候选人外少于三家的本包招标失败。投标文件满足招标文件全部实质性要求，且按照评审因素的量化指标评审得分最高的投标人为排名第一的中标候选人。”如招标文件前后规定不一致，以此处规定为准。 2、本招标文件中采购包1对应的实际标的名称为“采购包1：大米1”、采购包2对应的实际标的名称为“采购包3：小麦粉1”、采购包3对应的实际标的名称为“采购包4：小麦粉2”、采购包4对应的实际标的名称为“采购包10：纯牛奶3”、采购包5对应的实际标的名称为“采购包11：纯牛奶4”、采购包6对应的实际标的名称为“采购包16：鸡蛋1”、采购包7对应的实际标的名称为“采购包17：鸡蛋2”、采购包8对应的实际标的名称为“采购包18：鸡蛋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详见附件：合同0801.docx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