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版本号：ZHZB-2025(HW)04420250829001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购置急诊HIS系统等软件项目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ZHZB-2025(HW)044</w:t>
      </w:r>
      <w:r>
        <w:br/>
      </w:r>
      <w:r>
        <w:br/>
      </w:r>
      <w:r>
        <w:br/>
      </w:r>
    </w:p>
    <w:p>
      <w:pPr>
        <w:pStyle w:val="null3"/>
        <w:jc w:val="center"/>
        <w:outlineLvl w:val="2"/>
      </w:pPr>
      <w:r>
        <w:rPr>
          <w:rFonts w:ascii="仿宋_GB2312" w:hAnsi="仿宋_GB2312" w:cs="仿宋_GB2312" w:eastAsia="仿宋_GB2312"/>
          <w:sz w:val="28"/>
          <w:b/>
        </w:rPr>
        <w:t>富平县医院</w:t>
      </w:r>
    </w:p>
    <w:p>
      <w:pPr>
        <w:pStyle w:val="null3"/>
        <w:jc w:val="center"/>
        <w:outlineLvl w:val="2"/>
      </w:pPr>
      <w:r>
        <w:rPr>
          <w:rFonts w:ascii="仿宋_GB2312" w:hAnsi="仿宋_GB2312" w:cs="仿宋_GB2312" w:eastAsia="仿宋_GB2312"/>
          <w:sz w:val="28"/>
          <w:b/>
        </w:rPr>
        <w:t>陕西致恒招标代理有限公司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陕西致恒招标代理有限公司</w:t>
      </w:r>
      <w:r>
        <w:rPr>
          <w:rFonts w:ascii="仿宋_GB2312" w:hAnsi="仿宋_GB2312" w:cs="仿宋_GB2312" w:eastAsia="仿宋_GB2312"/>
        </w:rPr>
        <w:t>（以下简称“代理机构”）受</w:t>
      </w:r>
      <w:r>
        <w:rPr>
          <w:rFonts w:ascii="仿宋_GB2312" w:hAnsi="仿宋_GB2312" w:cs="仿宋_GB2312" w:eastAsia="仿宋_GB2312"/>
        </w:rPr>
        <w:t>富平县医院</w:t>
      </w:r>
      <w:r>
        <w:rPr>
          <w:rFonts w:ascii="仿宋_GB2312" w:hAnsi="仿宋_GB2312" w:cs="仿宋_GB2312" w:eastAsia="仿宋_GB2312"/>
        </w:rPr>
        <w:t>委托，拟对</w:t>
      </w:r>
      <w:r>
        <w:rPr>
          <w:rFonts w:ascii="仿宋_GB2312" w:hAnsi="仿宋_GB2312" w:cs="仿宋_GB2312" w:eastAsia="仿宋_GB2312"/>
        </w:rPr>
        <w:t>购置急诊HIS系统等软件项目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ZHZB-2025(HW)044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购置急诊HIS系统等软件项目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急诊预检分拣、急诊医生工作站、急诊护士站、急诊危急值应用、急诊质控及HIS系统相关接口等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良好的商业信誉和健全的财务会计制度：良好的商业信誉和健全的财务会计制度：供应商提供2024年度经审计的财务报告或在2025年2月1日至今其基本开户银行出具的资信证明（需附开户银行证明材料）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有依法缴纳税收和社会保障资金的良好记录：供应商提供时间在2025年2月1日至今任意时段的缴纳证明；供应商需在项目电子化交易系统中按要求上传相应证明文件并进行电子签章。</w:t>
      </w:r>
    </w:p>
    <w:p>
      <w:pPr>
        <w:pStyle w:val="null3"/>
      </w:pPr>
      <w:r>
        <w:rPr>
          <w:rFonts w:ascii="仿宋_GB2312" w:hAnsi="仿宋_GB2312" w:cs="仿宋_GB2312" w:eastAsia="仿宋_GB2312"/>
        </w:rPr>
        <w:t>4、书面声明：书面声明：①参加政府采购活动前三年内，在经营活动中没有重大违法记录的书面声明；②提供具有履行本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5、法律、行政法规规定的其他条件：法律、行政法规规定的其他条件：法定代表人直接参加投标的，须提供法定代表人身份证明；法定代表人授权代表参加投标的，须提供法定代表人授权委托书；供应商需在项目电子化交易系统中按要求上传相应证明文件并进行电子签章。</w:t>
      </w:r>
    </w:p>
    <w:p>
      <w:pPr>
        <w:pStyle w:val="null3"/>
      </w:pPr>
      <w:r>
        <w:rPr>
          <w:rFonts w:ascii="仿宋_GB2312" w:hAnsi="仿宋_GB2312" w:cs="仿宋_GB2312" w:eastAsia="仿宋_GB2312"/>
        </w:rPr>
        <w:t>6、供应商企业关系关联及联合体说明：供应商企业关系关联及联合体说明：本项目不接受联合体投标，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7、备注：备注：①以上为投标人必备资格要求，资格证明文件无效或缺项投标文件按无效文件处理。②分支机构参与投标时，须提供分支机构符合资格要求的证明文件。③书面声明、法定代表人身份证明和法定代表人授权委托书应按招标文件的要求填写，投标文件中必须附原件，其他资格证明文件提供复印件并加盖投标人公章。④依法免税或不需要缴纳社会保障资金的投标人须提供相应证明文件；事业单位法人可不提供财务状况报告和社会保障资金缴纳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富平县杜村东街8号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 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18292361119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陕西致恒招标代理有限公司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西安市未央区北二环大明宫立交桥百寰国际2705室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屈彤 魏露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13289892509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开户名称：陕西致恒招标代理有限公司</w:t>
            </w:r>
          </w:p>
          <w:p>
            <w:pPr>
              <w:pStyle w:val="null3"/>
            </w:pPr>
            <w:r>
              <w:rPr>
                <w:rFonts w:ascii="仿宋_GB2312" w:hAnsi="仿宋_GB2312" w:cs="仿宋_GB2312" w:eastAsia="仿宋_GB2312"/>
              </w:rPr>
              <w:t>开户银行：中国建设银行股份有限公司西安太华北路北段支行</w:t>
            </w:r>
          </w:p>
          <w:p>
            <w:pPr>
              <w:pStyle w:val="null3"/>
            </w:pPr>
            <w:r>
              <w:rPr>
                <w:rFonts w:ascii="仿宋_GB2312" w:hAnsi="仿宋_GB2312" w:cs="仿宋_GB2312" w:eastAsia="仿宋_GB2312"/>
              </w:rPr>
              <w:t>银行账号：61050110629600000259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业服务价格的通知》（发改价格【2015】299号），参照《招标代理服务收费管理暂行办法的通知》(计价格〔2002〕1980号)、《关于招标代理服务收费有关问题的通知》（发改办价格〔2003〕857号）以及《关于降低部分建设项目收费标准规范收费行为等有关问题的通知》(发改价格〔2011〕534号)，按货物收费标准以中标价为基数计取向陕西致恒招标代理有限公司交纳招标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富平县医院</w:t>
      </w:r>
      <w:r>
        <w:rPr>
          <w:rFonts w:ascii="仿宋_GB2312" w:hAnsi="仿宋_GB2312" w:cs="仿宋_GB2312" w:eastAsia="仿宋_GB2312"/>
        </w:rPr>
        <w:t>和</w:t>
      </w:r>
      <w:r>
        <w:rPr>
          <w:rFonts w:ascii="仿宋_GB2312" w:hAnsi="仿宋_GB2312" w:cs="仿宋_GB2312" w:eastAsia="仿宋_GB2312"/>
        </w:rPr>
        <w:t>陕西致恒招标代理有限公司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陕西致恒招标代理有限公司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陕西致恒招标代理有限公司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联系人：屈彤 魏露</w:t>
      </w:r>
    </w:p>
    <w:p>
      <w:pPr>
        <w:pStyle w:val="null3"/>
      </w:pPr>
      <w:r>
        <w:rPr>
          <w:rFonts w:ascii="仿宋_GB2312" w:hAnsi="仿宋_GB2312" w:cs="仿宋_GB2312" w:eastAsia="仿宋_GB2312"/>
        </w:rPr>
        <w:t>联系电话：13289892509</w:t>
      </w:r>
    </w:p>
    <w:p>
      <w:pPr>
        <w:pStyle w:val="null3"/>
      </w:pPr>
      <w:r>
        <w:rPr>
          <w:rFonts w:ascii="仿宋_GB2312" w:hAnsi="仿宋_GB2312" w:cs="仿宋_GB2312" w:eastAsia="仿宋_GB2312"/>
        </w:rPr>
        <w:t>地址：西安市未央区北二环大明宫立交桥百寰国际2705室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急诊预检分拣、急诊医生工作站、急诊护士站、急诊危急值应用、急诊质控及HIS系统相关接口等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急诊HIS系统等软件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标的名称：急诊HIS系统等软件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36"/>
                <w:b/>
                <w:color w:val="000000"/>
              </w:rPr>
              <w:t>一、</w:t>
            </w:r>
            <w:r>
              <w:rPr>
                <w:rFonts w:ascii="仿宋_GB2312" w:hAnsi="仿宋_GB2312" w:cs="仿宋_GB2312" w:eastAsia="仿宋_GB2312"/>
                <w:sz w:val="36"/>
                <w:b/>
                <w:color w:val="000000"/>
              </w:rPr>
              <w:t>采购内容及技术要求</w:t>
            </w:r>
          </w:p>
          <w:p>
            <w:pPr>
              <w:pStyle w:val="null3"/>
              <w:spacing w:before="120" w:after="120"/>
              <w:ind w:left="510"/>
              <w:jc w:val="center"/>
              <w:outlineLvl w:val="0"/>
            </w:pPr>
            <w:r>
              <w:rPr>
                <w:rFonts w:ascii="仿宋_GB2312" w:hAnsi="仿宋_GB2312" w:cs="仿宋_GB2312" w:eastAsia="仿宋_GB2312"/>
                <w:sz w:val="36"/>
                <w:b/>
                <w:color w:val="000000"/>
              </w:rPr>
              <w:t>1.</w:t>
            </w:r>
            <w:r>
              <w:rPr>
                <w:rFonts w:ascii="仿宋_GB2312" w:hAnsi="仿宋_GB2312" w:cs="仿宋_GB2312" w:eastAsia="仿宋_GB2312"/>
                <w:sz w:val="36"/>
                <w:b/>
                <w:color w:val="000000"/>
              </w:rPr>
              <w:t>急诊信息系统</w:t>
            </w:r>
          </w:p>
          <w:p>
            <w:pPr>
              <w:pStyle w:val="null3"/>
            </w:pPr>
            <w:r>
              <w:rPr>
                <w:rFonts w:ascii="仿宋_GB2312" w:hAnsi="仿宋_GB2312" w:cs="仿宋_GB2312" w:eastAsia="仿宋_GB2312"/>
                <w:sz w:val="24"/>
                <w:b/>
                <w:color w:val="000000"/>
              </w:rPr>
              <w:t>总体技术要求</w:t>
            </w:r>
          </w:p>
          <w:p>
            <w:pPr>
              <w:pStyle w:val="null3"/>
            </w:pPr>
            <w:r>
              <w:rPr>
                <w:rFonts w:ascii="仿宋_GB2312" w:hAnsi="仿宋_GB2312" w:cs="仿宋_GB2312" w:eastAsia="仿宋_GB2312"/>
                <w:sz w:val="24"/>
                <w:color w:val="000000"/>
              </w:rPr>
              <w:t>急诊信息系统须与医院信息系统一体化集成，中标</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负责完成本次建设内容与医院信息系统的改造对接和一体化集成。</w:t>
            </w:r>
          </w:p>
          <w:p>
            <w:pPr>
              <w:pStyle w:val="null3"/>
            </w:pPr>
            <w:r>
              <w:rPr>
                <w:rFonts w:ascii="仿宋_GB2312" w:hAnsi="仿宋_GB2312" w:cs="仿宋_GB2312" w:eastAsia="仿宋_GB2312"/>
                <w:sz w:val="24"/>
                <w:color w:val="000000"/>
              </w:rPr>
              <w:t>本项目包含现有业务系统如：</w:t>
            </w:r>
            <w:r>
              <w:rPr>
                <w:rFonts w:ascii="仿宋_GB2312" w:hAnsi="仿宋_GB2312" w:cs="仿宋_GB2312" w:eastAsia="仿宋_GB2312"/>
                <w:sz w:val="24"/>
                <w:color w:val="000000"/>
              </w:rPr>
              <w:t>HIS、CIS、EMR、LIS、PACS与医院质量指标系统接口对接改造，费用由</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承担。</w:t>
            </w:r>
          </w:p>
          <w:p>
            <w:pPr>
              <w:pStyle w:val="null3"/>
              <w:spacing w:before="120" w:after="120"/>
              <w:jc w:val="center"/>
              <w:outlineLvl w:val="1"/>
            </w:pPr>
            <w:r>
              <w:rPr>
                <w:rFonts w:ascii="仿宋_GB2312" w:hAnsi="仿宋_GB2312" w:cs="仿宋_GB2312" w:eastAsia="仿宋_GB2312"/>
                <w:sz w:val="24"/>
                <w:b/>
                <w:color w:val="000000"/>
              </w:rPr>
              <w:t>(1) 急诊预检分诊</w:t>
            </w:r>
          </w:p>
          <w:p>
            <w:pPr>
              <w:pStyle w:val="null3"/>
            </w:pPr>
            <w:r>
              <w:rPr>
                <w:rFonts w:ascii="仿宋_GB2312" w:hAnsi="仿宋_GB2312" w:cs="仿宋_GB2312" w:eastAsia="仿宋_GB2312"/>
                <w:sz w:val="24"/>
                <w:b/>
                <w:color w:val="000000"/>
              </w:rPr>
              <w:t>预检登记</w:t>
            </w:r>
          </w:p>
          <w:p>
            <w:pPr>
              <w:pStyle w:val="null3"/>
            </w:pPr>
            <w:r>
              <w:rPr>
                <w:rFonts w:ascii="仿宋_GB2312" w:hAnsi="仿宋_GB2312" w:cs="仿宋_GB2312" w:eastAsia="仿宋_GB2312"/>
                <w:sz w:val="24"/>
                <w:color w:val="000000"/>
              </w:rPr>
              <w:t>具备读身份证、就诊卡、医保卡、电子医保卡、电子凭证快速获取患者基本信息功能。</w:t>
            </w:r>
          </w:p>
          <w:p>
            <w:pPr>
              <w:pStyle w:val="null3"/>
            </w:pPr>
            <w:r>
              <w:rPr>
                <w:rFonts w:ascii="仿宋_GB2312" w:hAnsi="仿宋_GB2312" w:cs="仿宋_GB2312" w:eastAsia="仿宋_GB2312"/>
                <w:sz w:val="24"/>
                <w:color w:val="000000"/>
              </w:rPr>
              <w:t>具备完善患者基本信息功能，支持与医院信息系统对接，实现患者档案信息完善功能。同时支持患者身份信息、发病时间、来院方式、主诉或症状内容的手工录入功能。</w:t>
            </w:r>
          </w:p>
          <w:p>
            <w:pPr>
              <w:pStyle w:val="null3"/>
            </w:pPr>
            <w:r>
              <w:rPr>
                <w:rFonts w:ascii="仿宋_GB2312" w:hAnsi="仿宋_GB2312" w:cs="仿宋_GB2312" w:eastAsia="仿宋_GB2312"/>
                <w:sz w:val="24"/>
                <w:color w:val="000000"/>
              </w:rPr>
              <w:t>具备三无患者快速登记功能。</w:t>
            </w:r>
          </w:p>
          <w:p>
            <w:pPr>
              <w:pStyle w:val="null3"/>
            </w:pPr>
            <w:r>
              <w:rPr>
                <w:rFonts w:ascii="仿宋_GB2312" w:hAnsi="仿宋_GB2312" w:cs="仿宋_GB2312" w:eastAsia="仿宋_GB2312"/>
                <w:sz w:val="24"/>
                <w:color w:val="000000"/>
              </w:rPr>
              <w:t>具备首次就诊患者建档功能。</w:t>
            </w:r>
          </w:p>
          <w:p>
            <w:pPr>
              <w:pStyle w:val="null3"/>
            </w:pPr>
            <w:r>
              <w:rPr>
                <w:rFonts w:ascii="仿宋_GB2312" w:hAnsi="仿宋_GB2312" w:cs="仿宋_GB2312" w:eastAsia="仿宋_GB2312"/>
                <w:sz w:val="24"/>
                <w:color w:val="000000"/>
              </w:rPr>
              <w:t>具备患者分诊去向管理功能。</w:t>
            </w:r>
          </w:p>
          <w:p>
            <w:pPr>
              <w:pStyle w:val="null3"/>
            </w:pPr>
            <w:r>
              <w:rPr>
                <w:rFonts w:ascii="仿宋_GB2312" w:hAnsi="仿宋_GB2312" w:cs="仿宋_GB2312" w:eastAsia="仿宋_GB2312"/>
                <w:sz w:val="24"/>
                <w:color w:val="000000"/>
              </w:rPr>
              <w:t>具备记录即时检验</w:t>
            </w:r>
            <w:r>
              <w:rPr>
                <w:rFonts w:ascii="仿宋_GB2312" w:hAnsi="仿宋_GB2312" w:cs="仿宋_GB2312" w:eastAsia="仿宋_GB2312"/>
                <w:sz w:val="24"/>
                <w:color w:val="000000"/>
              </w:rPr>
              <w:t>POCT、过敏史、流行病史等信息功能。</w:t>
            </w:r>
          </w:p>
          <w:p>
            <w:pPr>
              <w:pStyle w:val="null3"/>
            </w:pPr>
            <w:r>
              <w:rPr>
                <w:rFonts w:ascii="仿宋_GB2312" w:hAnsi="仿宋_GB2312" w:cs="仿宋_GB2312" w:eastAsia="仿宋_GB2312"/>
                <w:sz w:val="24"/>
                <w:color w:val="000000"/>
              </w:rPr>
              <w:t>▲具备自定义配置患者来源图标颜色、图标显示文字功能，配置后可在查询列表中展示功能。</w:t>
            </w:r>
          </w:p>
          <w:p>
            <w:pPr>
              <w:pStyle w:val="null3"/>
            </w:pPr>
            <w:r>
              <w:rPr>
                <w:rFonts w:ascii="仿宋_GB2312" w:hAnsi="仿宋_GB2312" w:cs="仿宋_GB2312" w:eastAsia="仿宋_GB2312"/>
                <w:sz w:val="24"/>
                <w:color w:val="000000"/>
              </w:rPr>
              <w:t>具备修改预检评估时间功能，并支持记录修改原因。</w:t>
            </w:r>
          </w:p>
          <w:p>
            <w:pPr>
              <w:pStyle w:val="null3"/>
              <w:ind w:firstLine="482"/>
            </w:pPr>
            <w:r>
              <w:rPr>
                <w:rFonts w:ascii="仿宋_GB2312" w:hAnsi="仿宋_GB2312" w:cs="仿宋_GB2312" w:eastAsia="仿宋_GB2312"/>
                <w:sz w:val="24"/>
                <w:b/>
                <w:color w:val="000000"/>
              </w:rPr>
              <w:t>患者分级</w:t>
            </w:r>
          </w:p>
          <w:p>
            <w:pPr>
              <w:pStyle w:val="null3"/>
            </w:pPr>
            <w:r>
              <w:rPr>
                <w:rFonts w:ascii="仿宋_GB2312" w:hAnsi="仿宋_GB2312" w:cs="仿宋_GB2312" w:eastAsia="仿宋_GB2312"/>
                <w:sz w:val="24"/>
                <w:color w:val="000000"/>
              </w:rPr>
              <w:t>具备通过疼痛、创伤、</w:t>
            </w:r>
            <w:r>
              <w:rPr>
                <w:rFonts w:ascii="仿宋_GB2312" w:hAnsi="仿宋_GB2312" w:cs="仿宋_GB2312" w:eastAsia="仿宋_GB2312"/>
                <w:sz w:val="24"/>
                <w:color w:val="000000"/>
              </w:rPr>
              <w:t>GCS、REMS、MEWS、START、TSI多种评分对患者进行评估分级功能。</w:t>
            </w:r>
          </w:p>
          <w:p>
            <w:pPr>
              <w:pStyle w:val="null3"/>
            </w:pPr>
            <w:r>
              <w:rPr>
                <w:rFonts w:ascii="仿宋_GB2312" w:hAnsi="仿宋_GB2312" w:cs="仿宋_GB2312" w:eastAsia="仿宋_GB2312"/>
                <w:sz w:val="24"/>
                <w:color w:val="000000"/>
              </w:rPr>
              <w:t>具备预检护士人工干预分级功能，具备快速录入分级调整理由功能。</w:t>
            </w:r>
          </w:p>
          <w:p>
            <w:pPr>
              <w:pStyle w:val="null3"/>
            </w:pPr>
            <w:r>
              <w:rPr>
                <w:rFonts w:ascii="仿宋_GB2312" w:hAnsi="仿宋_GB2312" w:cs="仿宋_GB2312" w:eastAsia="仿宋_GB2312"/>
                <w:sz w:val="24"/>
                <w:color w:val="000000"/>
              </w:rPr>
              <w:t>具备人工选择分诊级别和去向功能。</w:t>
            </w:r>
          </w:p>
          <w:p>
            <w:pPr>
              <w:pStyle w:val="null3"/>
            </w:pPr>
            <w:r>
              <w:rPr>
                <w:rFonts w:ascii="仿宋_GB2312" w:hAnsi="仿宋_GB2312" w:cs="仿宋_GB2312" w:eastAsia="仿宋_GB2312"/>
                <w:sz w:val="24"/>
                <w:color w:val="000000"/>
              </w:rPr>
              <w:t>具备对候诊超时患者进行二次评估功能。</w:t>
            </w:r>
          </w:p>
          <w:p>
            <w:pPr>
              <w:pStyle w:val="null3"/>
            </w:pPr>
            <w:r>
              <w:rPr>
                <w:rFonts w:ascii="仿宋_GB2312" w:hAnsi="仿宋_GB2312" w:cs="仿宋_GB2312" w:eastAsia="仿宋_GB2312"/>
                <w:sz w:val="24"/>
                <w:color w:val="000000"/>
              </w:rPr>
              <w:t>具备打印腕带条码功能。</w:t>
            </w:r>
          </w:p>
          <w:p>
            <w:pPr>
              <w:pStyle w:val="null3"/>
            </w:pPr>
            <w:r>
              <w:rPr>
                <w:rFonts w:ascii="仿宋_GB2312" w:hAnsi="仿宋_GB2312" w:cs="仿宋_GB2312" w:eastAsia="仿宋_GB2312"/>
                <w:sz w:val="24"/>
                <w:color w:val="000000"/>
              </w:rPr>
              <w:t>具备打印分诊条</w:t>
            </w:r>
            <w:r>
              <w:rPr>
                <w:rFonts w:ascii="仿宋_GB2312" w:hAnsi="仿宋_GB2312" w:cs="仿宋_GB2312" w:eastAsia="仿宋_GB2312"/>
                <w:sz w:val="24"/>
                <w:color w:val="000000"/>
              </w:rPr>
              <w:t>(导诊单、挂号凭证)功能。</w:t>
            </w:r>
          </w:p>
          <w:p>
            <w:pPr>
              <w:pStyle w:val="null3"/>
              <w:ind w:firstLine="482"/>
            </w:pPr>
            <w:r>
              <w:rPr>
                <w:rFonts w:ascii="仿宋_GB2312" w:hAnsi="仿宋_GB2312" w:cs="仿宋_GB2312" w:eastAsia="仿宋_GB2312"/>
                <w:sz w:val="24"/>
                <w:b/>
                <w:color w:val="000000"/>
              </w:rPr>
              <w:t>预检知识库</w:t>
            </w:r>
          </w:p>
          <w:p>
            <w:pPr>
              <w:pStyle w:val="null3"/>
            </w:pPr>
            <w:r>
              <w:rPr>
                <w:rFonts w:ascii="仿宋_GB2312" w:hAnsi="仿宋_GB2312" w:cs="仿宋_GB2312" w:eastAsia="仿宋_GB2312"/>
                <w:sz w:val="24"/>
                <w:color w:val="000000"/>
              </w:rPr>
              <w:t>具备根据生命体征自动推荐分级功能。</w:t>
            </w:r>
          </w:p>
          <w:p>
            <w:pPr>
              <w:pStyle w:val="null3"/>
            </w:pPr>
            <w:r>
              <w:rPr>
                <w:rFonts w:ascii="仿宋_GB2312" w:hAnsi="仿宋_GB2312" w:cs="仿宋_GB2312" w:eastAsia="仿宋_GB2312"/>
                <w:sz w:val="24"/>
                <w:color w:val="000000"/>
              </w:rPr>
              <w:t>具备分诊知识库</w:t>
            </w:r>
            <w:r>
              <w:rPr>
                <w:rFonts w:ascii="仿宋_GB2312" w:hAnsi="仿宋_GB2312" w:cs="仿宋_GB2312" w:eastAsia="仿宋_GB2312"/>
                <w:sz w:val="24"/>
                <w:color w:val="000000"/>
              </w:rPr>
              <w:t>(主诉等关键词)推荐自动分级功能。</w:t>
            </w:r>
          </w:p>
          <w:p>
            <w:pPr>
              <w:pStyle w:val="null3"/>
            </w:pPr>
            <w:r>
              <w:rPr>
                <w:rFonts w:ascii="仿宋_GB2312" w:hAnsi="仿宋_GB2312" w:cs="仿宋_GB2312" w:eastAsia="仿宋_GB2312"/>
                <w:sz w:val="24"/>
                <w:color w:val="000000"/>
              </w:rPr>
              <w:t>具备根据患者评分推荐自动分级功能。</w:t>
            </w:r>
          </w:p>
          <w:p>
            <w:pPr>
              <w:pStyle w:val="null3"/>
            </w:pPr>
            <w:r>
              <w:rPr>
                <w:rFonts w:ascii="仿宋_GB2312" w:hAnsi="仿宋_GB2312" w:cs="仿宋_GB2312" w:eastAsia="仿宋_GB2312"/>
                <w:sz w:val="24"/>
                <w:color w:val="000000"/>
              </w:rPr>
              <w:t>具备用户后台更新维护知识库内容功能。</w:t>
            </w:r>
          </w:p>
          <w:p>
            <w:pPr>
              <w:pStyle w:val="null3"/>
            </w:pPr>
            <w:r>
              <w:rPr>
                <w:rFonts w:ascii="仿宋_GB2312" w:hAnsi="仿宋_GB2312" w:cs="仿宋_GB2312" w:eastAsia="仿宋_GB2312"/>
                <w:sz w:val="24"/>
                <w:color w:val="000000"/>
              </w:rPr>
              <w:t>▲具备维护不同年龄段患者所适用的评分单范围功能。</w:t>
            </w:r>
          </w:p>
          <w:p>
            <w:pPr>
              <w:pStyle w:val="null3"/>
            </w:pPr>
            <w:r>
              <w:rPr>
                <w:rFonts w:ascii="仿宋_GB2312" w:hAnsi="仿宋_GB2312" w:cs="仿宋_GB2312" w:eastAsia="仿宋_GB2312"/>
                <w:sz w:val="24"/>
                <w:color w:val="000000"/>
              </w:rPr>
              <w:t>▲具备根据症状联动让用户选择关联评分单功能。</w:t>
            </w:r>
          </w:p>
          <w:p>
            <w:pPr>
              <w:pStyle w:val="null3"/>
            </w:pPr>
            <w:r>
              <w:rPr>
                <w:rFonts w:ascii="仿宋_GB2312" w:hAnsi="仿宋_GB2312" w:cs="仿宋_GB2312" w:eastAsia="仿宋_GB2312"/>
                <w:sz w:val="24"/>
                <w:color w:val="000000"/>
              </w:rPr>
              <w:t>▲具备至少两种知识库评估方式选择功能，并支持根据成人、妇科、儿科进行区分设置判断标准。</w:t>
            </w:r>
          </w:p>
          <w:p>
            <w:pPr>
              <w:pStyle w:val="null3"/>
              <w:ind w:firstLine="482"/>
            </w:pPr>
            <w:r>
              <w:rPr>
                <w:rFonts w:ascii="仿宋_GB2312" w:hAnsi="仿宋_GB2312" w:cs="仿宋_GB2312" w:eastAsia="仿宋_GB2312"/>
                <w:sz w:val="24"/>
                <w:b/>
                <w:color w:val="000000"/>
              </w:rPr>
              <w:t>群伤管理</w:t>
            </w:r>
          </w:p>
          <w:p>
            <w:pPr>
              <w:pStyle w:val="null3"/>
            </w:pPr>
            <w:r>
              <w:rPr>
                <w:rFonts w:ascii="仿宋_GB2312" w:hAnsi="仿宋_GB2312" w:cs="仿宋_GB2312" w:eastAsia="仿宋_GB2312"/>
                <w:sz w:val="24"/>
                <w:color w:val="000000"/>
              </w:rPr>
              <w:t>具备快速创建群伤事件功能。</w:t>
            </w:r>
          </w:p>
          <w:p>
            <w:pPr>
              <w:pStyle w:val="null3"/>
            </w:pPr>
            <w:r>
              <w:rPr>
                <w:rFonts w:ascii="仿宋_GB2312" w:hAnsi="仿宋_GB2312" w:cs="仿宋_GB2312" w:eastAsia="仿宋_GB2312"/>
                <w:sz w:val="24"/>
                <w:color w:val="000000"/>
              </w:rPr>
              <w:t>具备群伤患者管理功能，对群伤患者进行标记。</w:t>
            </w:r>
          </w:p>
          <w:p>
            <w:pPr>
              <w:pStyle w:val="null3"/>
            </w:pPr>
            <w:r>
              <w:rPr>
                <w:rFonts w:ascii="仿宋_GB2312" w:hAnsi="仿宋_GB2312" w:cs="仿宋_GB2312" w:eastAsia="仿宋_GB2312"/>
                <w:sz w:val="24"/>
                <w:color w:val="000000"/>
              </w:rPr>
              <w:t>具备批量创建群伤患者，批量打印腕带功能。</w:t>
            </w:r>
          </w:p>
          <w:p>
            <w:pPr>
              <w:pStyle w:val="null3"/>
            </w:pPr>
            <w:r>
              <w:rPr>
                <w:rFonts w:ascii="仿宋_GB2312" w:hAnsi="仿宋_GB2312" w:cs="仿宋_GB2312" w:eastAsia="仿宋_GB2312"/>
                <w:sz w:val="24"/>
                <w:color w:val="000000"/>
              </w:rPr>
              <w:t>具备群伤患者基本信息补录功能。</w:t>
            </w:r>
          </w:p>
          <w:p>
            <w:pPr>
              <w:pStyle w:val="null3"/>
            </w:pPr>
            <w:r>
              <w:rPr>
                <w:rFonts w:ascii="仿宋_GB2312" w:hAnsi="仿宋_GB2312" w:cs="仿宋_GB2312" w:eastAsia="仿宋_GB2312"/>
                <w:sz w:val="24"/>
                <w:color w:val="000000"/>
              </w:rPr>
              <w:t>具备群伤患者进行快速预检评估功能。</w:t>
            </w:r>
          </w:p>
          <w:p>
            <w:pPr>
              <w:pStyle w:val="null3"/>
            </w:pPr>
            <w:r>
              <w:rPr>
                <w:rFonts w:ascii="仿宋_GB2312" w:hAnsi="仿宋_GB2312" w:cs="仿宋_GB2312" w:eastAsia="仿宋_GB2312"/>
                <w:sz w:val="24"/>
                <w:color w:val="000000"/>
              </w:rPr>
              <w:t>具备群伤患者预检时关联群伤事件功能。</w:t>
            </w:r>
          </w:p>
          <w:p>
            <w:pPr>
              <w:pStyle w:val="null3"/>
              <w:spacing w:before="120" w:after="120"/>
              <w:jc w:val="both"/>
              <w:outlineLvl w:val="2"/>
            </w:pPr>
            <w:r>
              <w:rPr>
                <w:rFonts w:ascii="仿宋_GB2312" w:hAnsi="仿宋_GB2312" w:cs="仿宋_GB2312" w:eastAsia="仿宋_GB2312"/>
                <w:sz w:val="24"/>
                <w:b/>
                <w:color w:val="000000"/>
              </w:rPr>
              <w:t>1）绿色通道</w:t>
            </w:r>
          </w:p>
          <w:p>
            <w:pPr>
              <w:pStyle w:val="null3"/>
            </w:pPr>
            <w:r>
              <w:rPr>
                <w:rFonts w:ascii="仿宋_GB2312" w:hAnsi="仿宋_GB2312" w:cs="仿宋_GB2312" w:eastAsia="仿宋_GB2312"/>
                <w:sz w:val="24"/>
                <w:color w:val="000000"/>
              </w:rPr>
              <w:t>具备绿色通道病人标识功能。</w:t>
            </w:r>
          </w:p>
          <w:p>
            <w:pPr>
              <w:pStyle w:val="null3"/>
            </w:pPr>
            <w:r>
              <w:rPr>
                <w:rFonts w:ascii="仿宋_GB2312" w:hAnsi="仿宋_GB2312" w:cs="仿宋_GB2312" w:eastAsia="仿宋_GB2312"/>
                <w:sz w:val="24"/>
                <w:color w:val="000000"/>
              </w:rPr>
              <w:t>具备快速开启绿色通道功能。</w:t>
            </w:r>
          </w:p>
          <w:p>
            <w:pPr>
              <w:pStyle w:val="null3"/>
            </w:pPr>
            <w:r>
              <w:rPr>
                <w:rFonts w:ascii="仿宋_GB2312" w:hAnsi="仿宋_GB2312" w:cs="仿宋_GB2312" w:eastAsia="仿宋_GB2312"/>
                <w:sz w:val="24"/>
                <w:color w:val="000000"/>
              </w:rPr>
              <w:t>支持与医院信息系统对接，在线进行欠费申请，实现</w:t>
            </w:r>
            <w:r>
              <w:rPr>
                <w:rFonts w:ascii="仿宋_GB2312" w:hAnsi="仿宋_GB2312" w:cs="仿宋_GB2312" w:eastAsia="仿宋_GB2312"/>
                <w:sz w:val="24"/>
                <w:color w:val="000000"/>
              </w:rPr>
              <w:t>“先诊疗后付费”功能。</w:t>
            </w:r>
          </w:p>
          <w:p>
            <w:pPr>
              <w:pStyle w:val="null3"/>
              <w:spacing w:before="120" w:after="120"/>
              <w:jc w:val="both"/>
              <w:outlineLvl w:val="2"/>
            </w:pPr>
            <w:r>
              <w:rPr>
                <w:rFonts w:ascii="仿宋_GB2312" w:hAnsi="仿宋_GB2312" w:cs="仿宋_GB2312" w:eastAsia="仿宋_GB2312"/>
                <w:sz w:val="24"/>
                <w:b/>
                <w:color w:val="000000"/>
              </w:rPr>
              <w:t>2）预检台挂号</w:t>
            </w:r>
          </w:p>
          <w:p>
            <w:pPr>
              <w:pStyle w:val="null3"/>
            </w:pPr>
            <w:r>
              <w:rPr>
                <w:rFonts w:ascii="仿宋_GB2312" w:hAnsi="仿宋_GB2312" w:cs="仿宋_GB2312" w:eastAsia="仿宋_GB2312"/>
                <w:sz w:val="24"/>
                <w:color w:val="000000"/>
              </w:rPr>
              <w:t>支持与医院信息系统对接，在预检分诊时进行挂号。若患者在窗口挂急诊号，自动关联患者的挂号信息。</w:t>
            </w:r>
          </w:p>
          <w:p>
            <w:pPr>
              <w:pStyle w:val="null3"/>
            </w:pPr>
            <w:r>
              <w:rPr>
                <w:rFonts w:ascii="仿宋_GB2312" w:hAnsi="仿宋_GB2312" w:cs="仿宋_GB2312" w:eastAsia="仿宋_GB2312"/>
                <w:sz w:val="24"/>
                <w:color w:val="000000"/>
              </w:rPr>
              <w:t>具备调用医院信息系统弹窗进行选择挂号的功能，挂号成功后自动将预检评估记录与挂号记录进行关联。</w:t>
            </w:r>
          </w:p>
          <w:p>
            <w:pPr>
              <w:pStyle w:val="null3"/>
            </w:pPr>
            <w:r>
              <w:rPr>
                <w:rFonts w:ascii="仿宋_GB2312" w:hAnsi="仿宋_GB2312" w:cs="仿宋_GB2312" w:eastAsia="仿宋_GB2312"/>
                <w:sz w:val="24"/>
                <w:color w:val="000000"/>
              </w:rPr>
              <w:t>具备预检评估提交时，后台自动进行挂号功能。</w:t>
            </w:r>
          </w:p>
          <w:p>
            <w:pPr>
              <w:pStyle w:val="null3"/>
              <w:spacing w:before="120" w:after="120"/>
              <w:jc w:val="both"/>
              <w:outlineLvl w:val="2"/>
            </w:pPr>
            <w:r>
              <w:rPr>
                <w:rFonts w:ascii="仿宋_GB2312" w:hAnsi="仿宋_GB2312" w:cs="仿宋_GB2312" w:eastAsia="仿宋_GB2312"/>
                <w:sz w:val="24"/>
                <w:b/>
                <w:color w:val="000000"/>
              </w:rPr>
              <w:t>3）院前预警</w:t>
            </w:r>
          </w:p>
          <w:p>
            <w:pPr>
              <w:pStyle w:val="null3"/>
            </w:pPr>
            <w:r>
              <w:rPr>
                <w:rFonts w:ascii="仿宋_GB2312" w:hAnsi="仿宋_GB2312" w:cs="仿宋_GB2312" w:eastAsia="仿宋_GB2312"/>
                <w:sz w:val="24"/>
                <w:color w:val="000000"/>
              </w:rPr>
              <w:t>支持与院前系统对接，获取院前系统中记录的患者基本信息和体征信息，实现</w:t>
            </w:r>
            <w:r>
              <w:rPr>
                <w:rFonts w:ascii="仿宋_GB2312" w:hAnsi="仿宋_GB2312" w:cs="仿宋_GB2312" w:eastAsia="仿宋_GB2312"/>
                <w:sz w:val="24"/>
                <w:color w:val="000000"/>
              </w:rPr>
              <w:t>120患者快速预检分级功能。</w:t>
            </w:r>
          </w:p>
          <w:p>
            <w:pPr>
              <w:pStyle w:val="null3"/>
            </w:pPr>
            <w:r>
              <w:rPr>
                <w:rFonts w:ascii="仿宋_GB2312" w:hAnsi="仿宋_GB2312" w:cs="仿宋_GB2312" w:eastAsia="仿宋_GB2312"/>
                <w:sz w:val="24"/>
                <w:color w:val="000000"/>
              </w:rPr>
              <w:t>支持院前预警，调阅院前病历信息。</w:t>
            </w:r>
          </w:p>
          <w:p>
            <w:pPr>
              <w:pStyle w:val="null3"/>
              <w:spacing w:before="120" w:after="120"/>
              <w:jc w:val="both"/>
              <w:outlineLvl w:val="2"/>
            </w:pPr>
            <w:r>
              <w:rPr>
                <w:rFonts w:ascii="仿宋_GB2312" w:hAnsi="仿宋_GB2312" w:cs="仿宋_GB2312" w:eastAsia="仿宋_GB2312"/>
                <w:sz w:val="24"/>
                <w:b/>
                <w:color w:val="000000"/>
              </w:rPr>
              <w:t>4）设备联机</w:t>
            </w:r>
          </w:p>
          <w:p>
            <w:pPr>
              <w:pStyle w:val="null3"/>
            </w:pPr>
            <w:r>
              <w:rPr>
                <w:rFonts w:ascii="仿宋_GB2312" w:hAnsi="仿宋_GB2312" w:cs="仿宋_GB2312" w:eastAsia="仿宋_GB2312"/>
                <w:sz w:val="24"/>
                <w:color w:val="000000"/>
              </w:rPr>
              <w:t>支持与预检台生命体征采集设备、体征监护仪对接，实现自动采集患者生命体征数据功能。</w:t>
            </w:r>
          </w:p>
          <w:p>
            <w:pPr>
              <w:pStyle w:val="null3"/>
              <w:spacing w:before="120" w:after="120"/>
              <w:jc w:val="center"/>
              <w:outlineLvl w:val="1"/>
            </w:pPr>
            <w:r>
              <w:rPr>
                <w:rFonts w:ascii="仿宋_GB2312" w:hAnsi="仿宋_GB2312" w:cs="仿宋_GB2312" w:eastAsia="仿宋_GB2312"/>
                <w:sz w:val="24"/>
                <w:b/>
                <w:color w:val="000000"/>
              </w:rPr>
              <w:t>(2) 急诊医生工作站</w:t>
            </w:r>
          </w:p>
          <w:p>
            <w:pPr>
              <w:pStyle w:val="null3"/>
            </w:pPr>
            <w:r>
              <w:rPr>
                <w:rFonts w:ascii="仿宋_GB2312" w:hAnsi="仿宋_GB2312" w:cs="仿宋_GB2312" w:eastAsia="仿宋_GB2312"/>
                <w:sz w:val="24"/>
                <w:color w:val="000000"/>
              </w:rPr>
              <w:t>急诊医生工作站，主要是帮助医生完成抢救、留观以及急门诊患者的诊断、医嘱、医技申请及相关报告调阅等诊疗管理工作，同时结合急诊科多病区及实际临床业务管理的要求，提供急诊专科区域病历功能、一键转归管理功能，并可直观的显示当前患者的医嘱及生命体征变化趋势。</w:t>
            </w:r>
          </w:p>
          <w:p>
            <w:pPr>
              <w:pStyle w:val="null3"/>
              <w:spacing w:before="120" w:after="120"/>
              <w:jc w:val="both"/>
              <w:outlineLvl w:val="2"/>
            </w:pPr>
            <w:r>
              <w:rPr>
                <w:rFonts w:ascii="仿宋_GB2312" w:hAnsi="仿宋_GB2312" w:cs="仿宋_GB2312" w:eastAsia="仿宋_GB2312"/>
                <w:sz w:val="24"/>
                <w:b/>
                <w:color w:val="000000"/>
              </w:rPr>
              <w:t>1）急诊抢救及留观病历书写</w:t>
            </w:r>
          </w:p>
          <w:p>
            <w:pPr>
              <w:pStyle w:val="null3"/>
            </w:pPr>
            <w:r>
              <w:rPr>
                <w:rFonts w:ascii="仿宋_GB2312" w:hAnsi="仿宋_GB2312" w:cs="仿宋_GB2312" w:eastAsia="仿宋_GB2312"/>
                <w:sz w:val="24"/>
                <w:color w:val="000000"/>
              </w:rPr>
              <w:t>通过在病历中维护抢救记录病历模板、留观病历模板，用于记录急诊科进入抢救室或留观区治疗的患者记录诊疗经过，同时可将已书写的病历进行打印。</w:t>
            </w:r>
          </w:p>
          <w:p>
            <w:pPr>
              <w:pStyle w:val="null3"/>
            </w:pPr>
            <w:r>
              <w:rPr>
                <w:rFonts w:ascii="仿宋_GB2312" w:hAnsi="仿宋_GB2312" w:cs="仿宋_GB2312" w:eastAsia="仿宋_GB2312"/>
                <w:sz w:val="24"/>
                <w:color w:val="000000"/>
              </w:rPr>
              <w:t>具备急诊抢救记录、急诊留观电子病历书写，同时提供打印功能。</w:t>
            </w:r>
          </w:p>
          <w:p>
            <w:pPr>
              <w:pStyle w:val="null3"/>
              <w:spacing w:before="120" w:after="120"/>
              <w:jc w:val="both"/>
              <w:outlineLvl w:val="2"/>
            </w:pPr>
            <w:r>
              <w:rPr>
                <w:rFonts w:ascii="仿宋_GB2312" w:hAnsi="仿宋_GB2312" w:cs="仿宋_GB2312" w:eastAsia="仿宋_GB2312"/>
                <w:sz w:val="24"/>
                <w:b/>
                <w:color w:val="000000"/>
              </w:rPr>
              <w:t>2）留观转归及长处方管理</w:t>
            </w:r>
          </w:p>
          <w:p>
            <w:pPr>
              <w:pStyle w:val="null3"/>
            </w:pPr>
            <w:r>
              <w:rPr>
                <w:rFonts w:ascii="仿宋_GB2312" w:hAnsi="仿宋_GB2312" w:cs="仿宋_GB2312" w:eastAsia="仿宋_GB2312"/>
                <w:sz w:val="24"/>
                <w:color w:val="000000"/>
              </w:rPr>
              <w:t>提供患者出入区申请，可将抢救结束的患者流转到留观病区的急诊医生工作中，记录患者流转去向供后续查询，并根据留观区临床管理的实际场景，在系统中提供床位管理的模式。同时，急诊医生站中，通过提供长处方开立及打印功能，实现对留观患者多天就诊场景下的处方医嘱管理。</w:t>
            </w:r>
          </w:p>
          <w:p>
            <w:pPr>
              <w:pStyle w:val="null3"/>
            </w:pPr>
            <w:r>
              <w:rPr>
                <w:rFonts w:ascii="仿宋_GB2312" w:hAnsi="仿宋_GB2312" w:cs="仿宋_GB2312" w:eastAsia="仿宋_GB2312"/>
                <w:sz w:val="24"/>
                <w:color w:val="000000"/>
              </w:rPr>
              <w:t>具备急诊患者床位卡展示、患者入出区申请、患者去向查询功能。</w:t>
            </w:r>
          </w:p>
          <w:p>
            <w:pPr>
              <w:pStyle w:val="null3"/>
            </w:pPr>
            <w:r>
              <w:rPr>
                <w:rFonts w:ascii="仿宋_GB2312" w:hAnsi="仿宋_GB2312" w:cs="仿宋_GB2312" w:eastAsia="仿宋_GB2312"/>
                <w:sz w:val="24"/>
                <w:color w:val="000000"/>
              </w:rPr>
              <w:t>具备急诊长处方规则设置、护士审核规则设置、长处方录入及调用功能。</w:t>
            </w:r>
          </w:p>
          <w:p>
            <w:pPr>
              <w:pStyle w:val="null3"/>
            </w:pPr>
            <w:r>
              <w:rPr>
                <w:rFonts w:ascii="仿宋_GB2312" w:hAnsi="仿宋_GB2312" w:cs="仿宋_GB2312" w:eastAsia="仿宋_GB2312"/>
                <w:sz w:val="24"/>
                <w:color w:val="000000"/>
              </w:rPr>
              <w:t>具备急诊医嘱单打印功能。</w:t>
            </w:r>
          </w:p>
          <w:p>
            <w:pPr>
              <w:pStyle w:val="null3"/>
              <w:spacing w:before="120" w:after="120"/>
              <w:jc w:val="center"/>
              <w:outlineLvl w:val="1"/>
            </w:pPr>
            <w:r>
              <w:rPr>
                <w:rFonts w:ascii="仿宋_GB2312" w:hAnsi="仿宋_GB2312" w:cs="仿宋_GB2312" w:eastAsia="仿宋_GB2312"/>
                <w:sz w:val="24"/>
                <w:b/>
                <w:color w:val="000000"/>
              </w:rPr>
              <w:t>(3) 急诊护士站</w:t>
            </w:r>
          </w:p>
          <w:p>
            <w:pPr>
              <w:pStyle w:val="null3"/>
              <w:ind w:firstLine="482"/>
            </w:pPr>
            <w:r>
              <w:rPr>
                <w:rFonts w:ascii="仿宋_GB2312" w:hAnsi="仿宋_GB2312" w:cs="仿宋_GB2312" w:eastAsia="仿宋_GB2312"/>
                <w:sz w:val="24"/>
                <w:b/>
                <w:color w:val="000000"/>
              </w:rPr>
              <w:t>患者管理</w:t>
            </w:r>
          </w:p>
          <w:p>
            <w:pPr>
              <w:pStyle w:val="null3"/>
            </w:pPr>
            <w:r>
              <w:rPr>
                <w:rFonts w:ascii="仿宋_GB2312" w:hAnsi="仿宋_GB2312" w:cs="仿宋_GB2312" w:eastAsia="仿宋_GB2312"/>
                <w:sz w:val="24"/>
                <w:color w:val="000000"/>
              </w:rPr>
              <w:t>具备患者入区登记功能，记录患者入区科室、医护、分配床位及入区时间信息。</w:t>
            </w:r>
          </w:p>
          <w:p>
            <w:pPr>
              <w:pStyle w:val="null3"/>
            </w:pPr>
            <w:r>
              <w:rPr>
                <w:rFonts w:ascii="仿宋_GB2312" w:hAnsi="仿宋_GB2312" w:cs="仿宋_GB2312" w:eastAsia="仿宋_GB2312"/>
                <w:sz w:val="24"/>
                <w:color w:val="000000"/>
              </w:rPr>
              <w:t>具备便捷的一键归转功能，自动记录患者疾病转归情况及患者去向功能。</w:t>
            </w:r>
          </w:p>
          <w:p>
            <w:pPr>
              <w:pStyle w:val="null3"/>
            </w:pPr>
            <w:r>
              <w:rPr>
                <w:rFonts w:ascii="仿宋_GB2312" w:hAnsi="仿宋_GB2312" w:cs="仿宋_GB2312" w:eastAsia="仿宋_GB2312"/>
                <w:sz w:val="24"/>
                <w:color w:val="000000"/>
              </w:rPr>
              <w:t>具备床位管理及出区患者召回功能。</w:t>
            </w:r>
          </w:p>
          <w:p>
            <w:pPr>
              <w:pStyle w:val="null3"/>
            </w:pPr>
            <w:r>
              <w:rPr>
                <w:rFonts w:ascii="仿宋_GB2312" w:hAnsi="仿宋_GB2312" w:cs="仿宋_GB2312" w:eastAsia="仿宋_GB2312"/>
                <w:sz w:val="24"/>
                <w:color w:val="000000"/>
              </w:rPr>
              <w:t>具备在床卡上通过图标直观显示患者重点信息功能，重点信息图标包括：重点关注、新入、欠费模式、群伤、胸痛、卒中、创伤、孕产妇、三无、中毒、其他、新生儿、脑外伤、普通、心衰、呼吸、有过敏史。</w:t>
            </w:r>
          </w:p>
          <w:p>
            <w:pPr>
              <w:pStyle w:val="null3"/>
            </w:pPr>
            <w:r>
              <w:rPr>
                <w:rFonts w:ascii="仿宋_GB2312" w:hAnsi="仿宋_GB2312" w:cs="仿宋_GB2312" w:eastAsia="仿宋_GB2312"/>
                <w:sz w:val="24"/>
                <w:color w:val="000000"/>
              </w:rPr>
              <w:t>具备多维度数据查询及导出患者就诊记录功能，查询条件可分别为患者基本信息、滞留时间、去向。</w:t>
            </w:r>
          </w:p>
          <w:p>
            <w:pPr>
              <w:pStyle w:val="null3"/>
            </w:pPr>
            <w:r>
              <w:rPr>
                <w:rFonts w:ascii="仿宋_GB2312" w:hAnsi="仿宋_GB2312" w:cs="仿宋_GB2312" w:eastAsia="仿宋_GB2312"/>
                <w:sz w:val="24"/>
                <w:color w:val="000000"/>
              </w:rPr>
              <w:t>具体快速筛选过滤患者功能，分别可通过患者分诊级别、新入、出区、重点关注、特级护理条件快速筛选过滤患者。</w:t>
            </w:r>
          </w:p>
          <w:p>
            <w:pPr>
              <w:pStyle w:val="null3"/>
            </w:pPr>
            <w:r>
              <w:rPr>
                <w:rFonts w:ascii="仿宋_GB2312" w:hAnsi="仿宋_GB2312" w:cs="仿宋_GB2312" w:eastAsia="仿宋_GB2312"/>
                <w:sz w:val="24"/>
                <w:color w:val="000000"/>
              </w:rPr>
              <w:t>具备患者床头卡、腕带打印功能。</w:t>
            </w:r>
          </w:p>
          <w:p>
            <w:pPr>
              <w:pStyle w:val="null3"/>
              <w:ind w:firstLine="482"/>
            </w:pPr>
            <w:r>
              <w:rPr>
                <w:rFonts w:ascii="仿宋_GB2312" w:hAnsi="仿宋_GB2312" w:cs="仿宋_GB2312" w:eastAsia="仿宋_GB2312"/>
                <w:sz w:val="24"/>
                <w:b/>
                <w:color w:val="000000"/>
              </w:rPr>
              <w:t>医嘱管理</w:t>
            </w:r>
          </w:p>
          <w:p>
            <w:pPr>
              <w:pStyle w:val="null3"/>
            </w:pPr>
            <w:r>
              <w:rPr>
                <w:rFonts w:ascii="仿宋_GB2312" w:hAnsi="仿宋_GB2312" w:cs="仿宋_GB2312" w:eastAsia="仿宋_GB2312"/>
                <w:sz w:val="24"/>
                <w:color w:val="000000"/>
              </w:rPr>
              <w:t>具备医嘱核对、计费功能。可快速添加计费项与耗材功能。</w:t>
            </w:r>
          </w:p>
          <w:p>
            <w:pPr>
              <w:pStyle w:val="null3"/>
            </w:pPr>
            <w:r>
              <w:rPr>
                <w:rFonts w:ascii="仿宋_GB2312" w:hAnsi="仿宋_GB2312" w:cs="仿宋_GB2312" w:eastAsia="仿宋_GB2312"/>
                <w:sz w:val="24"/>
                <w:color w:val="000000"/>
              </w:rPr>
              <w:t>具备按颜色对医嘱进行状态区分功能。</w:t>
            </w:r>
          </w:p>
          <w:p>
            <w:pPr>
              <w:pStyle w:val="null3"/>
            </w:pPr>
            <w:r>
              <w:rPr>
                <w:rFonts w:ascii="仿宋_GB2312" w:hAnsi="仿宋_GB2312" w:cs="仿宋_GB2312" w:eastAsia="仿宋_GB2312"/>
                <w:sz w:val="24"/>
                <w:color w:val="000000"/>
              </w:rPr>
              <w:t>具备录入皮试反馈并传给急诊医生功能。</w:t>
            </w:r>
          </w:p>
          <w:p>
            <w:pPr>
              <w:pStyle w:val="null3"/>
            </w:pPr>
            <w:r>
              <w:rPr>
                <w:rFonts w:ascii="仿宋_GB2312" w:hAnsi="仿宋_GB2312" w:cs="仿宋_GB2312" w:eastAsia="仿宋_GB2312"/>
                <w:sz w:val="24"/>
                <w:color w:val="000000"/>
              </w:rPr>
              <w:t>具备执行医嘱并自动记录出入量功能。</w:t>
            </w:r>
          </w:p>
          <w:p>
            <w:pPr>
              <w:pStyle w:val="null3"/>
            </w:pPr>
            <w:r>
              <w:rPr>
                <w:rFonts w:ascii="仿宋_GB2312" w:hAnsi="仿宋_GB2312" w:cs="仿宋_GB2312" w:eastAsia="仿宋_GB2312"/>
                <w:sz w:val="24"/>
                <w:color w:val="000000"/>
              </w:rPr>
              <w:t>▲具备医嘱批量审核功能，可设置审核时间与医嘱开立时间一致。</w:t>
            </w:r>
          </w:p>
          <w:p>
            <w:pPr>
              <w:pStyle w:val="null3"/>
            </w:pPr>
            <w:r>
              <w:rPr>
                <w:rFonts w:ascii="仿宋_GB2312" w:hAnsi="仿宋_GB2312" w:cs="仿宋_GB2312" w:eastAsia="仿宋_GB2312"/>
                <w:sz w:val="24"/>
                <w:color w:val="000000"/>
              </w:rPr>
              <w:t>具备单据可视化预览、打印功能，包括输液贴、执行单、巡视卡。</w:t>
            </w:r>
          </w:p>
          <w:p>
            <w:pPr>
              <w:pStyle w:val="null3"/>
            </w:pPr>
            <w:r>
              <w:rPr>
                <w:rFonts w:ascii="仿宋_GB2312" w:hAnsi="仿宋_GB2312" w:cs="仿宋_GB2312" w:eastAsia="仿宋_GB2312"/>
                <w:sz w:val="24"/>
                <w:color w:val="000000"/>
              </w:rPr>
              <w:t>具备新医嘱接收提醒功能，并在患者列表卡片上有显著标识进行显示，及在患者管理页面弹出提醒消息，有多条提醒消息时自动滚动播放，可一键跳转到对应患者的医嘱管理界面。</w:t>
            </w:r>
          </w:p>
          <w:p>
            <w:pPr>
              <w:pStyle w:val="null3"/>
            </w:pPr>
            <w:r>
              <w:rPr>
                <w:rFonts w:ascii="仿宋_GB2312" w:hAnsi="仿宋_GB2312" w:cs="仿宋_GB2312" w:eastAsia="仿宋_GB2312"/>
                <w:sz w:val="24"/>
                <w:color w:val="000000"/>
              </w:rPr>
              <w:t>具备快速过滤医嘱功能，可通过医嘱长临类型、医嘱类别、审核状态进行筛选。</w:t>
            </w:r>
          </w:p>
          <w:p>
            <w:pPr>
              <w:pStyle w:val="null3"/>
              <w:ind w:firstLine="482"/>
            </w:pPr>
            <w:r>
              <w:rPr>
                <w:rFonts w:ascii="仿宋_GB2312" w:hAnsi="仿宋_GB2312" w:cs="仿宋_GB2312" w:eastAsia="仿宋_GB2312"/>
                <w:sz w:val="24"/>
                <w:b/>
                <w:color w:val="000000"/>
              </w:rPr>
              <w:t>观察项</w:t>
            </w:r>
          </w:p>
          <w:p>
            <w:pPr>
              <w:pStyle w:val="null3"/>
            </w:pPr>
            <w:r>
              <w:rPr>
                <w:rFonts w:ascii="仿宋_GB2312" w:hAnsi="仿宋_GB2312" w:cs="仿宋_GB2312" w:eastAsia="仿宋_GB2312"/>
                <w:sz w:val="24"/>
                <w:color w:val="000000"/>
              </w:rPr>
              <w:t>具备记录体温、脉搏、呼吸、血压等数据，并以趋势图形式展示功能。</w:t>
            </w:r>
          </w:p>
          <w:p>
            <w:pPr>
              <w:pStyle w:val="null3"/>
            </w:pPr>
            <w:r>
              <w:rPr>
                <w:rFonts w:ascii="仿宋_GB2312" w:hAnsi="仿宋_GB2312" w:cs="仿宋_GB2312" w:eastAsia="仿宋_GB2312"/>
                <w:sz w:val="24"/>
                <w:color w:val="000000"/>
              </w:rPr>
              <w:t>具备记录瞳孔反射、大便等观察项名称及对应数据功能。</w:t>
            </w:r>
          </w:p>
          <w:p>
            <w:pPr>
              <w:pStyle w:val="null3"/>
            </w:pPr>
            <w:r>
              <w:rPr>
                <w:rFonts w:ascii="仿宋_GB2312" w:hAnsi="仿宋_GB2312" w:cs="仿宋_GB2312" w:eastAsia="仿宋_GB2312"/>
                <w:sz w:val="24"/>
                <w:color w:val="000000"/>
              </w:rPr>
              <w:t>具备对体征信息进行集中录入功能。</w:t>
            </w:r>
          </w:p>
          <w:p>
            <w:pPr>
              <w:pStyle w:val="null3"/>
            </w:pPr>
            <w:r>
              <w:rPr>
                <w:rFonts w:ascii="仿宋_GB2312" w:hAnsi="仿宋_GB2312" w:cs="仿宋_GB2312" w:eastAsia="仿宋_GB2312"/>
                <w:sz w:val="24"/>
                <w:color w:val="000000"/>
              </w:rPr>
              <w:t>具备对需要记录的观察项进行自定义配置功能。</w:t>
            </w:r>
          </w:p>
          <w:p>
            <w:pPr>
              <w:pStyle w:val="null3"/>
              <w:ind w:firstLine="482"/>
            </w:pPr>
            <w:r>
              <w:rPr>
                <w:rFonts w:ascii="仿宋_GB2312" w:hAnsi="仿宋_GB2312" w:cs="仿宋_GB2312" w:eastAsia="仿宋_GB2312"/>
                <w:sz w:val="24"/>
                <w:b/>
                <w:color w:val="000000"/>
              </w:rPr>
              <w:t>病情记录</w:t>
            </w:r>
          </w:p>
          <w:p>
            <w:pPr>
              <w:pStyle w:val="null3"/>
            </w:pPr>
            <w:r>
              <w:rPr>
                <w:rFonts w:ascii="仿宋_GB2312" w:hAnsi="仿宋_GB2312" w:cs="仿宋_GB2312" w:eastAsia="仿宋_GB2312"/>
                <w:sz w:val="24"/>
                <w:color w:val="000000"/>
              </w:rPr>
              <w:t>具备自动记录患者流转记录功能。</w:t>
            </w:r>
          </w:p>
          <w:p>
            <w:pPr>
              <w:pStyle w:val="null3"/>
            </w:pPr>
            <w:r>
              <w:rPr>
                <w:rFonts w:ascii="仿宋_GB2312" w:hAnsi="仿宋_GB2312" w:cs="仿宋_GB2312" w:eastAsia="仿宋_GB2312"/>
                <w:sz w:val="24"/>
                <w:color w:val="000000"/>
              </w:rPr>
              <w:t>具备护理措施记录、病情记录、巡视记录功能，并提供模版化管理。</w:t>
            </w:r>
          </w:p>
          <w:p>
            <w:pPr>
              <w:pStyle w:val="null3"/>
            </w:pPr>
            <w:r>
              <w:rPr>
                <w:rFonts w:ascii="仿宋_GB2312" w:hAnsi="仿宋_GB2312" w:cs="仿宋_GB2312" w:eastAsia="仿宋_GB2312"/>
                <w:sz w:val="24"/>
                <w:color w:val="000000"/>
              </w:rPr>
              <w:t>具备通过动态模块快速录入病情记录功能。</w:t>
            </w:r>
          </w:p>
          <w:p>
            <w:pPr>
              <w:pStyle w:val="null3"/>
              <w:ind w:firstLine="482"/>
            </w:pPr>
            <w:r>
              <w:rPr>
                <w:rFonts w:ascii="仿宋_GB2312" w:hAnsi="仿宋_GB2312" w:cs="仿宋_GB2312" w:eastAsia="仿宋_GB2312"/>
                <w:sz w:val="24"/>
                <w:b/>
                <w:color w:val="000000"/>
              </w:rPr>
              <w:t>液体平衡</w:t>
            </w:r>
          </w:p>
          <w:p>
            <w:pPr>
              <w:pStyle w:val="null3"/>
            </w:pPr>
            <w:r>
              <w:rPr>
                <w:rFonts w:ascii="仿宋_GB2312" w:hAnsi="仿宋_GB2312" w:cs="仿宋_GB2312" w:eastAsia="仿宋_GB2312"/>
                <w:sz w:val="24"/>
                <w:color w:val="000000"/>
              </w:rPr>
              <w:t>具备自动统计输液入量功能。</w:t>
            </w:r>
          </w:p>
          <w:p>
            <w:pPr>
              <w:pStyle w:val="null3"/>
            </w:pPr>
            <w:r>
              <w:rPr>
                <w:rFonts w:ascii="仿宋_GB2312" w:hAnsi="仿宋_GB2312" w:cs="仿宋_GB2312" w:eastAsia="仿宋_GB2312"/>
                <w:sz w:val="24"/>
                <w:color w:val="000000"/>
              </w:rPr>
              <w:t>具备记录护理入量及出量功能，如饮水、引流液、输血。</w:t>
            </w:r>
          </w:p>
          <w:p>
            <w:pPr>
              <w:pStyle w:val="null3"/>
            </w:pPr>
            <w:r>
              <w:rPr>
                <w:rFonts w:ascii="仿宋_GB2312" w:hAnsi="仿宋_GB2312" w:cs="仿宋_GB2312" w:eastAsia="仿宋_GB2312"/>
                <w:sz w:val="24"/>
                <w:color w:val="000000"/>
              </w:rPr>
              <w:t>具备以图表形式展示患者液体平衡情况功能。</w:t>
            </w:r>
          </w:p>
          <w:p>
            <w:pPr>
              <w:pStyle w:val="null3"/>
              <w:ind w:firstLine="482"/>
            </w:pPr>
            <w:r>
              <w:rPr>
                <w:rFonts w:ascii="仿宋_GB2312" w:hAnsi="仿宋_GB2312" w:cs="仿宋_GB2312" w:eastAsia="仿宋_GB2312"/>
                <w:sz w:val="24"/>
                <w:b/>
                <w:color w:val="000000"/>
              </w:rPr>
              <w:t>护理记录单</w:t>
            </w:r>
          </w:p>
          <w:p>
            <w:pPr>
              <w:pStyle w:val="null3"/>
            </w:pPr>
            <w:r>
              <w:rPr>
                <w:rFonts w:ascii="仿宋_GB2312" w:hAnsi="仿宋_GB2312" w:cs="仿宋_GB2312" w:eastAsia="仿宋_GB2312"/>
                <w:sz w:val="24"/>
                <w:color w:val="000000"/>
              </w:rPr>
              <w:t>具备将急诊护理监护信息、护理记录信息自动汇总到护理记录单上功能。</w:t>
            </w:r>
          </w:p>
          <w:p>
            <w:pPr>
              <w:pStyle w:val="null3"/>
            </w:pPr>
            <w:r>
              <w:rPr>
                <w:rFonts w:ascii="仿宋_GB2312" w:hAnsi="仿宋_GB2312" w:cs="仿宋_GB2312" w:eastAsia="仿宋_GB2312"/>
                <w:sz w:val="24"/>
                <w:color w:val="000000"/>
              </w:rPr>
              <w:t>▲具备根据权限控制，允许用户审阅编辑修改护士提交的护理记录单功能。</w:t>
            </w:r>
          </w:p>
          <w:p>
            <w:pPr>
              <w:pStyle w:val="null3"/>
            </w:pPr>
            <w:r>
              <w:rPr>
                <w:rFonts w:ascii="仿宋_GB2312" w:hAnsi="仿宋_GB2312" w:cs="仿宋_GB2312" w:eastAsia="仿宋_GB2312"/>
                <w:sz w:val="24"/>
                <w:color w:val="000000"/>
              </w:rPr>
              <w:t>具备对急诊抢救记录单、护理记录单进行打印、续打，同时可支持单据自定义配置。</w:t>
            </w:r>
          </w:p>
          <w:p>
            <w:pPr>
              <w:pStyle w:val="null3"/>
            </w:pPr>
            <w:r>
              <w:rPr>
                <w:rFonts w:ascii="仿宋_GB2312" w:hAnsi="仿宋_GB2312" w:cs="仿宋_GB2312" w:eastAsia="仿宋_GB2312"/>
                <w:sz w:val="24"/>
                <w:color w:val="000000"/>
              </w:rPr>
              <w:t>具备对护理数据自动汇总功能。</w:t>
            </w:r>
          </w:p>
          <w:p>
            <w:pPr>
              <w:pStyle w:val="null3"/>
              <w:spacing w:before="120" w:after="120"/>
              <w:jc w:val="center"/>
              <w:outlineLvl w:val="1"/>
            </w:pPr>
            <w:r>
              <w:rPr>
                <w:rFonts w:ascii="仿宋_GB2312" w:hAnsi="仿宋_GB2312" w:cs="仿宋_GB2312" w:eastAsia="仿宋_GB2312"/>
                <w:sz w:val="24"/>
                <w:b/>
                <w:color w:val="000000"/>
              </w:rPr>
              <w:t>(4) 急诊危急值应用</w:t>
            </w:r>
          </w:p>
          <w:p>
            <w:pPr>
              <w:pStyle w:val="null3"/>
            </w:pPr>
            <w:r>
              <w:rPr>
                <w:rFonts w:ascii="仿宋_GB2312" w:hAnsi="仿宋_GB2312" w:cs="仿宋_GB2312" w:eastAsia="仿宋_GB2312"/>
                <w:sz w:val="24"/>
                <w:color w:val="000000"/>
              </w:rPr>
              <w:t>支持与检验系统对接，实现危急值预警提醒功能。</w:t>
            </w:r>
          </w:p>
          <w:p>
            <w:pPr>
              <w:pStyle w:val="null3"/>
            </w:pPr>
            <w:r>
              <w:rPr>
                <w:rFonts w:ascii="仿宋_GB2312" w:hAnsi="仿宋_GB2312" w:cs="仿宋_GB2312" w:eastAsia="仿宋_GB2312"/>
                <w:sz w:val="24"/>
                <w:color w:val="000000"/>
              </w:rPr>
              <w:t>具备危急值消息接收提醒功能。</w:t>
            </w:r>
          </w:p>
          <w:p>
            <w:pPr>
              <w:pStyle w:val="null3"/>
            </w:pPr>
            <w:r>
              <w:rPr>
                <w:rFonts w:ascii="仿宋_GB2312" w:hAnsi="仿宋_GB2312" w:cs="仿宋_GB2312" w:eastAsia="仿宋_GB2312"/>
                <w:sz w:val="24"/>
                <w:color w:val="000000"/>
              </w:rPr>
              <w:t>具备对危急值消息进行确认和意见反馈功能。</w:t>
            </w:r>
          </w:p>
          <w:p>
            <w:pPr>
              <w:pStyle w:val="null3"/>
            </w:pPr>
            <w:r>
              <w:rPr>
                <w:rFonts w:ascii="仿宋_GB2312" w:hAnsi="仿宋_GB2312" w:cs="仿宋_GB2312" w:eastAsia="仿宋_GB2312"/>
                <w:sz w:val="24"/>
                <w:color w:val="000000"/>
              </w:rPr>
              <w:t>具备查询患者历史危急值消息功能。</w:t>
            </w:r>
          </w:p>
          <w:p>
            <w:pPr>
              <w:pStyle w:val="null3"/>
            </w:pPr>
            <w:r>
              <w:rPr>
                <w:rFonts w:ascii="仿宋_GB2312" w:hAnsi="仿宋_GB2312" w:cs="仿宋_GB2312" w:eastAsia="仿宋_GB2312"/>
                <w:sz w:val="24"/>
                <w:color w:val="000000"/>
              </w:rPr>
              <w:t>具备对已处理的危急值消息自动生成危急值记录病历功能。</w:t>
            </w:r>
          </w:p>
          <w:p>
            <w:pPr>
              <w:pStyle w:val="null3"/>
              <w:spacing w:before="120" w:after="120"/>
              <w:jc w:val="center"/>
              <w:outlineLvl w:val="1"/>
            </w:pPr>
            <w:r>
              <w:rPr>
                <w:rFonts w:ascii="仿宋_GB2312" w:hAnsi="仿宋_GB2312" w:cs="仿宋_GB2312" w:eastAsia="仿宋_GB2312"/>
                <w:sz w:val="24"/>
                <w:b/>
                <w:color w:val="000000"/>
              </w:rPr>
              <w:t>(5) 急诊质控</w:t>
            </w:r>
          </w:p>
          <w:p>
            <w:pPr>
              <w:pStyle w:val="null3"/>
            </w:pPr>
            <w:r>
              <w:rPr>
                <w:rFonts w:ascii="仿宋_GB2312" w:hAnsi="仿宋_GB2312" w:cs="仿宋_GB2312" w:eastAsia="仿宋_GB2312"/>
                <w:sz w:val="24"/>
                <w:color w:val="000000"/>
              </w:rPr>
              <w:t>具备快速自定义质控指标功能，包括定义指标名称、显示图表类型及数据源。</w:t>
            </w:r>
          </w:p>
          <w:p>
            <w:pPr>
              <w:pStyle w:val="null3"/>
            </w:pPr>
            <w:r>
              <w:rPr>
                <w:rFonts w:ascii="仿宋_GB2312" w:hAnsi="仿宋_GB2312" w:cs="仿宋_GB2312" w:eastAsia="仿宋_GB2312"/>
                <w:sz w:val="24"/>
                <w:color w:val="000000"/>
              </w:rPr>
              <w:t>具备统计卫计委要求的急诊专业十大医疗质控指标，并以图表形式展示质控指标结果功能，包括急诊科医患比、急诊科护患比、急诊各级患者比例、抢救室滞留时间中位数、急性心梗死患者平均门药时间及门药达标率、急性心肌梗死患者平均门球时间及门球时间达标率、急诊抢救室患者死亡率、急诊手术患者死亡率、</w:t>
            </w:r>
            <w:r>
              <w:rPr>
                <w:rFonts w:ascii="仿宋_GB2312" w:hAnsi="仿宋_GB2312" w:cs="仿宋_GB2312" w:eastAsia="仿宋_GB2312"/>
                <w:sz w:val="24"/>
                <w:color w:val="000000"/>
              </w:rPr>
              <w:t>ROSC成功率、非计划重返抢救室率。</w:t>
            </w:r>
          </w:p>
          <w:p>
            <w:pPr>
              <w:pStyle w:val="null3"/>
            </w:pPr>
            <w:r>
              <w:rPr>
                <w:rFonts w:ascii="仿宋_GB2312" w:hAnsi="仿宋_GB2312" w:cs="仿宋_GB2312" w:eastAsia="仿宋_GB2312"/>
                <w:sz w:val="24"/>
                <w:color w:val="000000"/>
              </w:rPr>
              <w:t>具备按不同角色设定重点关注的指标，并在关注指标中自动汇总显示功能。</w:t>
            </w:r>
          </w:p>
          <w:p>
            <w:pPr>
              <w:pStyle w:val="null3"/>
            </w:pPr>
            <w:r>
              <w:rPr>
                <w:rFonts w:ascii="仿宋_GB2312" w:hAnsi="仿宋_GB2312" w:cs="仿宋_GB2312" w:eastAsia="仿宋_GB2312"/>
                <w:sz w:val="24"/>
                <w:color w:val="000000"/>
              </w:rPr>
              <w:t>具备对质控指标的展示风格进行设置功能。</w:t>
            </w:r>
          </w:p>
          <w:p>
            <w:pPr>
              <w:pStyle w:val="null3"/>
              <w:spacing w:before="120" w:after="120"/>
              <w:jc w:val="center"/>
              <w:outlineLvl w:val="0"/>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医院质量指标系统接口</w:t>
            </w:r>
          </w:p>
          <w:p>
            <w:pPr>
              <w:pStyle w:val="null3"/>
            </w:pPr>
            <w:r>
              <w:rPr>
                <w:rFonts w:ascii="仿宋_GB2312" w:hAnsi="仿宋_GB2312" w:cs="仿宋_GB2312" w:eastAsia="仿宋_GB2312"/>
                <w:sz w:val="24"/>
                <w:color w:val="000000"/>
              </w:rPr>
              <w:t>在医院的运营管理中，医疗质量是核心，而质量指标系统作为监控和评估医疗质量的关键工具，需要整合来自多个信息系统的数据。医院信息系统存储着不同维度的医疗数据，这些数据正是质量指标计算和分析的重要依据。</w:t>
            </w:r>
          </w:p>
          <w:p>
            <w:pPr>
              <w:pStyle w:val="null3"/>
            </w:pPr>
            <w:r>
              <w:rPr>
                <w:rFonts w:ascii="仿宋_GB2312" w:hAnsi="仿宋_GB2312" w:cs="仿宋_GB2312" w:eastAsia="仿宋_GB2312"/>
                <w:sz w:val="24"/>
                <w:color w:val="000000"/>
              </w:rPr>
              <w:t>本次项目</w:t>
            </w:r>
            <w:r>
              <w:rPr>
                <w:rFonts w:ascii="仿宋_GB2312" w:hAnsi="仿宋_GB2312" w:cs="仿宋_GB2312" w:eastAsia="仿宋_GB2312"/>
                <w:sz w:val="24"/>
                <w:color w:val="000000"/>
              </w:rPr>
              <w:t>，</w:t>
            </w:r>
            <w:r>
              <w:rPr>
                <w:rFonts w:ascii="仿宋_GB2312" w:hAnsi="仿宋_GB2312" w:cs="仿宋_GB2312" w:eastAsia="仿宋_GB2312"/>
                <w:sz w:val="24"/>
                <w:color w:val="000000"/>
              </w:rPr>
              <w:t>要求根据第三方质量指标系统数据采集要求，通过</w:t>
            </w:r>
            <w:r>
              <w:rPr>
                <w:rFonts w:ascii="仿宋_GB2312" w:hAnsi="仿宋_GB2312" w:cs="仿宋_GB2312" w:eastAsia="仿宋_GB2312"/>
                <w:sz w:val="24"/>
                <w:color w:val="000000"/>
              </w:rPr>
              <w:t>接口</w:t>
            </w:r>
            <w:r>
              <w:rPr>
                <w:rFonts w:ascii="仿宋_GB2312" w:hAnsi="仿宋_GB2312" w:cs="仿宋_GB2312" w:eastAsia="仿宋_GB2312"/>
                <w:sz w:val="24"/>
                <w:color w:val="000000"/>
              </w:rPr>
              <w:t>实现</w:t>
            </w:r>
            <w:r>
              <w:rPr>
                <w:rFonts w:ascii="仿宋_GB2312" w:hAnsi="仿宋_GB2312" w:cs="仿宋_GB2312" w:eastAsia="仿宋_GB2312"/>
                <w:sz w:val="24"/>
                <w:color w:val="000000"/>
              </w:rPr>
              <w:t>HIS、CIS、EMR、LIS、PACS与</w:t>
            </w:r>
            <w:r>
              <w:rPr>
                <w:rFonts w:ascii="仿宋_GB2312" w:hAnsi="仿宋_GB2312" w:cs="仿宋_GB2312" w:eastAsia="仿宋_GB2312"/>
                <w:sz w:val="24"/>
                <w:color w:val="000000"/>
              </w:rPr>
              <w:t>质量指标</w:t>
            </w:r>
            <w:r>
              <w:rPr>
                <w:rFonts w:ascii="仿宋_GB2312" w:hAnsi="仿宋_GB2312" w:cs="仿宋_GB2312" w:eastAsia="仿宋_GB2312"/>
                <w:sz w:val="24"/>
                <w:color w:val="000000"/>
              </w:rPr>
              <w:t>系统之间的数据</w:t>
            </w:r>
            <w:r>
              <w:rPr>
                <w:rFonts w:ascii="仿宋_GB2312" w:hAnsi="仿宋_GB2312" w:cs="仿宋_GB2312" w:eastAsia="仿宋_GB2312"/>
                <w:sz w:val="24"/>
                <w:color w:val="000000"/>
              </w:rPr>
              <w:t>采集</w:t>
            </w:r>
            <w:r>
              <w:rPr>
                <w:rFonts w:ascii="仿宋_GB2312" w:hAnsi="仿宋_GB2312" w:cs="仿宋_GB2312" w:eastAsia="仿宋_GB2312"/>
                <w:sz w:val="24"/>
                <w:color w:val="000000"/>
              </w:rPr>
              <w:t>交换</w:t>
            </w:r>
            <w:r>
              <w:rPr>
                <w:rFonts w:ascii="仿宋_GB2312" w:hAnsi="仿宋_GB2312" w:cs="仿宋_GB2312" w:eastAsia="仿宋_GB2312"/>
                <w:sz w:val="24"/>
                <w:color w:val="000000"/>
              </w:rPr>
              <w:t>，为医院的质量管理决策提供有力支持</w:t>
            </w:r>
            <w:r>
              <w:rPr>
                <w:rFonts w:ascii="仿宋_GB2312" w:hAnsi="仿宋_GB2312" w:cs="仿宋_GB2312" w:eastAsia="仿宋_GB2312"/>
                <w:sz w:val="24"/>
                <w:b/>
                <w:color w:val="000000"/>
              </w:rPr>
              <w:t>（提供承诺函）</w:t>
            </w:r>
            <w:r>
              <w:rPr>
                <w:rFonts w:ascii="仿宋_GB2312" w:hAnsi="仿宋_GB2312" w:cs="仿宋_GB2312" w:eastAsia="仿宋_GB2312"/>
                <w:sz w:val="24"/>
                <w:color w:val="000000"/>
              </w:rPr>
              <w:t>。</w:t>
            </w:r>
          </w:p>
          <w:p>
            <w:pPr>
              <w:pStyle w:val="null3"/>
              <w:jc w:val="both"/>
              <w:outlineLvl w:val="0"/>
            </w:pPr>
            <w:r>
              <w:rPr>
                <w:rFonts w:ascii="仿宋_GB2312" w:hAnsi="仿宋_GB2312" w:cs="仿宋_GB2312" w:eastAsia="仿宋_GB2312"/>
                <w:sz w:val="36"/>
                <w:b/>
                <w:color w:val="000000"/>
              </w:rPr>
              <w:t>★</w:t>
            </w:r>
            <w:r>
              <w:rPr>
                <w:rFonts w:ascii="仿宋_GB2312" w:hAnsi="仿宋_GB2312" w:cs="仿宋_GB2312" w:eastAsia="仿宋_GB2312"/>
                <w:sz w:val="36"/>
                <w:b/>
                <w:color w:val="000000"/>
              </w:rPr>
              <w:t>二、商务要求</w:t>
            </w:r>
          </w:p>
          <w:p>
            <w:pPr>
              <w:pStyle w:val="null3"/>
              <w:ind w:firstLine="482"/>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合同履行期限及地点：</w:t>
            </w:r>
          </w:p>
          <w:p>
            <w:pPr>
              <w:pStyle w:val="null3"/>
              <w:ind w:firstLine="600"/>
              <w:jc w:val="both"/>
            </w:pPr>
            <w:r>
              <w:rPr>
                <w:rFonts w:ascii="仿宋_GB2312" w:hAnsi="仿宋_GB2312" w:cs="仿宋_GB2312" w:eastAsia="仿宋_GB2312"/>
                <w:sz w:val="24"/>
                <w:color w:val="000000"/>
              </w:rPr>
              <w:t>1、合同履行期限：本次项目建设周期为</w:t>
            </w:r>
            <w:r>
              <w:rPr>
                <w:rFonts w:ascii="仿宋_GB2312" w:hAnsi="仿宋_GB2312" w:cs="仿宋_GB2312" w:eastAsia="仿宋_GB2312"/>
                <w:sz w:val="24"/>
                <w:color w:val="000000"/>
              </w:rPr>
              <w:t>90日历天</w:t>
            </w:r>
            <w:r>
              <w:rPr>
                <w:rFonts w:ascii="仿宋_GB2312" w:hAnsi="仿宋_GB2312" w:cs="仿宋_GB2312" w:eastAsia="仿宋_GB2312"/>
                <w:sz w:val="24"/>
                <w:color w:val="000000"/>
              </w:rPr>
              <w:t>。</w:t>
            </w:r>
          </w:p>
          <w:p>
            <w:pPr>
              <w:pStyle w:val="null3"/>
              <w:ind w:firstLine="600"/>
              <w:jc w:val="both"/>
            </w:pPr>
            <w:r>
              <w:rPr>
                <w:rFonts w:ascii="仿宋_GB2312" w:hAnsi="仿宋_GB2312" w:cs="仿宋_GB2312" w:eastAsia="仿宋_GB2312"/>
                <w:sz w:val="24"/>
                <w:color w:val="000000"/>
              </w:rPr>
              <w:t>2、地点：</w:t>
            </w:r>
            <w:r>
              <w:rPr>
                <w:rFonts w:ascii="仿宋_GB2312" w:hAnsi="仿宋_GB2312" w:cs="仿宋_GB2312" w:eastAsia="仿宋_GB2312"/>
                <w:sz w:val="24"/>
                <w:color w:val="000000"/>
              </w:rPr>
              <w:t>富平县</w:t>
            </w:r>
            <w:r>
              <w:rPr>
                <w:rFonts w:ascii="仿宋_GB2312" w:hAnsi="仿宋_GB2312" w:cs="仿宋_GB2312" w:eastAsia="仿宋_GB2312"/>
                <w:sz w:val="24"/>
                <w:color w:val="000000"/>
              </w:rPr>
              <w:t>，采购人指定地点</w:t>
            </w:r>
          </w:p>
          <w:p>
            <w:pPr>
              <w:pStyle w:val="null3"/>
              <w:ind w:firstLine="482"/>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付款方式：</w:t>
            </w:r>
          </w:p>
          <w:p>
            <w:pPr>
              <w:pStyle w:val="null3"/>
              <w:ind w:firstLine="480"/>
              <w:jc w:val="both"/>
            </w:pPr>
            <w:r>
              <w:rPr>
                <w:rFonts w:ascii="仿宋_GB2312" w:hAnsi="仿宋_GB2312" w:cs="仿宋_GB2312" w:eastAsia="仿宋_GB2312"/>
                <w:sz w:val="24"/>
                <w:color w:val="000000"/>
              </w:rPr>
              <w:t>1.合同签订后，支付合同总价的20%预付款；</w:t>
            </w:r>
          </w:p>
          <w:p>
            <w:pPr>
              <w:pStyle w:val="null3"/>
              <w:ind w:firstLine="480"/>
              <w:jc w:val="both"/>
            </w:pPr>
            <w:r>
              <w:rPr>
                <w:rFonts w:ascii="仿宋_GB2312" w:hAnsi="仿宋_GB2312" w:cs="仿宋_GB2312" w:eastAsia="仿宋_GB2312"/>
                <w:sz w:val="24"/>
                <w:color w:val="000000"/>
              </w:rPr>
              <w:t>2.项目完成，且通过项目验收后，支付合同总价的70%；</w:t>
            </w:r>
          </w:p>
          <w:p>
            <w:pPr>
              <w:pStyle w:val="null3"/>
              <w:ind w:firstLine="480"/>
              <w:jc w:val="both"/>
            </w:pPr>
            <w:r>
              <w:rPr>
                <w:rFonts w:ascii="仿宋_GB2312" w:hAnsi="仿宋_GB2312" w:cs="仿宋_GB2312" w:eastAsia="仿宋_GB2312"/>
                <w:sz w:val="24"/>
                <w:color w:val="000000"/>
              </w:rPr>
              <w:t>3.剩余10%免费</w:t>
            </w:r>
            <w:r>
              <w:rPr>
                <w:rFonts w:ascii="仿宋_GB2312" w:hAnsi="仿宋_GB2312" w:cs="仿宋_GB2312" w:eastAsia="仿宋_GB2312"/>
                <w:sz w:val="24"/>
                <w:color w:val="000000"/>
              </w:rPr>
              <w:t>维保</w:t>
            </w:r>
            <w:r>
              <w:rPr>
                <w:rFonts w:ascii="仿宋_GB2312" w:hAnsi="仿宋_GB2312" w:cs="仿宋_GB2312" w:eastAsia="仿宋_GB2312"/>
                <w:sz w:val="24"/>
                <w:color w:val="000000"/>
              </w:rPr>
              <w:t>服务期结束后付清</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支付方式：银行转账；</w:t>
            </w:r>
          </w:p>
          <w:p>
            <w:pPr>
              <w:pStyle w:val="null3"/>
              <w:ind w:firstLine="482"/>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服务要求</w:t>
            </w:r>
            <w:r>
              <w:rPr>
                <w:rFonts w:ascii="仿宋_GB2312" w:hAnsi="仿宋_GB2312" w:cs="仿宋_GB2312" w:eastAsia="仿宋_GB2312"/>
                <w:sz w:val="24"/>
                <w:b/>
                <w:color w:val="000000"/>
              </w:rPr>
              <w:t>：</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技术支持与售后服务要求</w:t>
            </w:r>
          </w:p>
          <w:p>
            <w:pPr>
              <w:pStyle w:val="null3"/>
              <w:ind w:firstLine="480"/>
              <w:jc w:val="both"/>
            </w:pPr>
            <w:r>
              <w:rPr>
                <w:rFonts w:ascii="仿宋_GB2312" w:hAnsi="仿宋_GB2312" w:cs="仿宋_GB2312" w:eastAsia="仿宋_GB2312"/>
                <w:sz w:val="24"/>
              </w:rPr>
              <w:t xml:space="preserve">1.1  </w:t>
            </w:r>
            <w:r>
              <w:rPr>
                <w:rFonts w:ascii="仿宋_GB2312" w:hAnsi="仿宋_GB2312" w:cs="仿宋_GB2312" w:eastAsia="仿宋_GB2312"/>
                <w:sz w:val="24"/>
              </w:rPr>
              <w:t>在系统上线项目验收完成后，提供自验收之日起一年免费维保服务。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 xml:space="preserve">  </w:t>
            </w:r>
            <w:r>
              <w:rPr>
                <w:rFonts w:ascii="仿宋_GB2312" w:hAnsi="仿宋_GB2312" w:cs="仿宋_GB2312" w:eastAsia="仿宋_GB2312"/>
                <w:sz w:val="24"/>
              </w:rPr>
              <w:t>提供</w:t>
            </w:r>
            <w:r>
              <w:rPr>
                <w:rFonts w:ascii="仿宋_GB2312" w:hAnsi="仿宋_GB2312" w:cs="仿宋_GB2312" w:eastAsia="仿宋_GB2312"/>
                <w:sz w:val="24"/>
              </w:rPr>
              <w:t>7</w:t>
            </w:r>
            <w:r>
              <w:rPr>
                <w:rFonts w:ascii="仿宋_GB2312" w:hAnsi="仿宋_GB2312" w:cs="仿宋_GB2312" w:eastAsia="仿宋_GB2312"/>
                <w:sz w:val="24"/>
              </w:rPr>
              <w:t>（天）×</w:t>
            </w:r>
            <w:r>
              <w:rPr>
                <w:rFonts w:ascii="仿宋_GB2312" w:hAnsi="仿宋_GB2312" w:cs="仿宋_GB2312" w:eastAsia="仿宋_GB2312"/>
                <w:sz w:val="24"/>
              </w:rPr>
              <w:t>24</w:t>
            </w:r>
            <w:r>
              <w:rPr>
                <w:rFonts w:ascii="仿宋_GB2312" w:hAnsi="仿宋_GB2312" w:cs="仿宋_GB2312" w:eastAsia="仿宋_GB2312"/>
                <w:sz w:val="24"/>
              </w:rPr>
              <w:t>（小时）有固定人员</w:t>
            </w:r>
            <w:r>
              <w:rPr>
                <w:rFonts w:ascii="仿宋_GB2312" w:hAnsi="仿宋_GB2312" w:cs="仿宋_GB2312" w:eastAsia="仿宋_GB2312"/>
                <w:sz w:val="24"/>
              </w:rPr>
              <w:t>/</w:t>
            </w:r>
            <w:r>
              <w:rPr>
                <w:rFonts w:ascii="仿宋_GB2312" w:hAnsi="仿宋_GB2312" w:cs="仿宋_GB2312" w:eastAsia="仿宋_GB2312"/>
                <w:sz w:val="24"/>
              </w:rPr>
              <w:t>团队的电话、远程支持服务。在接到故障通报后，立即响应。严重故障需要</w:t>
            </w:r>
            <w:r>
              <w:rPr>
                <w:rFonts w:ascii="仿宋_GB2312" w:hAnsi="仿宋_GB2312" w:cs="仿宋_GB2312" w:eastAsia="仿宋_GB2312"/>
                <w:sz w:val="24"/>
              </w:rPr>
              <w:t>1</w:t>
            </w:r>
            <w:r>
              <w:rPr>
                <w:rFonts w:ascii="仿宋_GB2312" w:hAnsi="仿宋_GB2312" w:cs="仿宋_GB2312" w:eastAsia="仿宋_GB2312"/>
                <w:sz w:val="24"/>
              </w:rPr>
              <w:t>小时内赶到故障现场，</w:t>
            </w: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小时排除故障。</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 xml:space="preserve">  </w:t>
            </w:r>
            <w:r>
              <w:rPr>
                <w:rFonts w:ascii="仿宋_GB2312" w:hAnsi="仿宋_GB2312" w:cs="仿宋_GB2312" w:eastAsia="仿宋_GB2312"/>
                <w:sz w:val="24"/>
              </w:rPr>
              <w:t>问题解决或单次维护完毕后，在</w:t>
            </w:r>
            <w:r>
              <w:rPr>
                <w:rFonts w:ascii="仿宋_GB2312" w:hAnsi="仿宋_GB2312" w:cs="仿宋_GB2312" w:eastAsia="仿宋_GB2312"/>
                <w:sz w:val="24"/>
              </w:rPr>
              <w:t>2</w:t>
            </w:r>
            <w:r>
              <w:rPr>
                <w:rFonts w:ascii="仿宋_GB2312" w:hAnsi="仿宋_GB2312" w:cs="仿宋_GB2312" w:eastAsia="仿宋_GB2312"/>
                <w:sz w:val="24"/>
              </w:rPr>
              <w:t>个工作日内提交问题处理报告供留存。</w:t>
            </w:r>
          </w:p>
          <w:p>
            <w:pPr>
              <w:pStyle w:val="null3"/>
              <w:ind w:firstLine="482"/>
              <w:jc w:val="both"/>
            </w:pPr>
            <w:r>
              <w:rPr>
                <w:rFonts w:ascii="仿宋_GB2312" w:hAnsi="仿宋_GB2312" w:cs="仿宋_GB2312" w:eastAsia="仿宋_GB2312"/>
                <w:sz w:val="24"/>
                <w:b/>
              </w:rPr>
              <w:t>2、BUG</w:t>
            </w:r>
            <w:r>
              <w:rPr>
                <w:rFonts w:ascii="仿宋_GB2312" w:hAnsi="仿宋_GB2312" w:cs="仿宋_GB2312" w:eastAsia="仿宋_GB2312"/>
                <w:sz w:val="24"/>
                <w:b/>
              </w:rPr>
              <w:t>修复及系统升级服务</w:t>
            </w:r>
          </w:p>
          <w:p>
            <w:pPr>
              <w:pStyle w:val="null3"/>
              <w:ind w:firstLine="480"/>
              <w:jc w:val="both"/>
            </w:pPr>
            <w:r>
              <w:rPr>
                <w:rFonts w:ascii="仿宋_GB2312" w:hAnsi="仿宋_GB2312" w:cs="仿宋_GB2312" w:eastAsia="仿宋_GB2312"/>
                <w:sz w:val="24"/>
              </w:rPr>
              <w:t>质保期内，产品如存在功能性、安全性漏洞，需免费提供升级服务。在升级前，由采购人制定升级内容，供应商提供详细的系统升级方案。双方协商实施计划，制定详细的实施方案，包括测试方案、测试计划、回退方案、升级时间、升级步骤、参与人员等，在不影响现有业务功能、数据的前提下，保证升级成功。</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培训要求</w:t>
            </w:r>
          </w:p>
          <w:p>
            <w:pPr>
              <w:pStyle w:val="null3"/>
              <w:ind w:firstLine="480"/>
              <w:jc w:val="both"/>
            </w:pPr>
            <w:r>
              <w:rPr>
                <w:rFonts w:ascii="仿宋_GB2312" w:hAnsi="仿宋_GB2312" w:cs="仿宋_GB2312" w:eastAsia="仿宋_GB2312"/>
                <w:sz w:val="24"/>
              </w:rPr>
              <w:t>供应商应针对应用软件为采购人提供完整的培训，供应商的培训应满足下列目标：</w:t>
            </w:r>
          </w:p>
          <w:p>
            <w:pPr>
              <w:pStyle w:val="null3"/>
              <w:ind w:firstLine="480"/>
              <w:jc w:val="both"/>
            </w:pPr>
            <w:r>
              <w:rPr>
                <w:rFonts w:ascii="仿宋_GB2312" w:hAnsi="仿宋_GB2312" w:cs="仿宋_GB2312" w:eastAsia="仿宋_GB2312"/>
                <w:sz w:val="24"/>
              </w:rPr>
              <w:t xml:space="preserve">3.1  </w:t>
            </w:r>
            <w:r>
              <w:rPr>
                <w:rFonts w:ascii="仿宋_GB2312" w:hAnsi="仿宋_GB2312" w:cs="仿宋_GB2312" w:eastAsia="仿宋_GB2312"/>
                <w:sz w:val="24"/>
              </w:rPr>
              <w:t>采购人用户能操作和使用投标产品提供的各种功能；</w:t>
            </w:r>
          </w:p>
          <w:p>
            <w:pPr>
              <w:pStyle w:val="null3"/>
              <w:ind w:firstLine="480"/>
              <w:jc w:val="both"/>
            </w:pPr>
            <w:r>
              <w:rPr>
                <w:rFonts w:ascii="仿宋_GB2312" w:hAnsi="仿宋_GB2312" w:cs="仿宋_GB2312" w:eastAsia="仿宋_GB2312"/>
                <w:sz w:val="24"/>
              </w:rPr>
              <w:t xml:space="preserve">3.2  </w:t>
            </w:r>
            <w:r>
              <w:rPr>
                <w:rFonts w:ascii="仿宋_GB2312" w:hAnsi="仿宋_GB2312" w:cs="仿宋_GB2312" w:eastAsia="仿宋_GB2312"/>
                <w:sz w:val="24"/>
              </w:rPr>
              <w:t>如果系统出现问题，系统管理员能诊断和处理；</w:t>
            </w:r>
          </w:p>
          <w:p>
            <w:pPr>
              <w:pStyle w:val="null3"/>
              <w:ind w:firstLine="480"/>
              <w:jc w:val="both"/>
            </w:pPr>
            <w:r>
              <w:rPr>
                <w:rFonts w:ascii="仿宋_GB2312" w:hAnsi="仿宋_GB2312" w:cs="仿宋_GB2312" w:eastAsia="仿宋_GB2312"/>
                <w:sz w:val="24"/>
              </w:rPr>
              <w:t xml:space="preserve">3.3  </w:t>
            </w:r>
            <w:r>
              <w:rPr>
                <w:rFonts w:ascii="仿宋_GB2312" w:hAnsi="仿宋_GB2312" w:cs="仿宋_GB2312" w:eastAsia="仿宋_GB2312"/>
                <w:sz w:val="24"/>
              </w:rPr>
              <w:t>安全管理员熟悉所有必要的安全措施，并能有效合理地实施这些措施；</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其它要求</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为完成合同规定的全部内容所发生的费用（包括但不限于软件开发费用、培训费用、系统接口费用及其他各类费用等）和拟获得的利润、应交纳的各种税费等所有费用。系统供应费、运输费（含保险费）、安装调试费、检测验收费及其它费用。采购人不接受投标单位因遗漏报价而提出的任何费用追加请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2</w:t>
            </w:r>
            <w:r>
              <w:rPr>
                <w:rFonts w:ascii="仿宋_GB2312" w:hAnsi="仿宋_GB2312" w:cs="仿宋_GB2312" w:eastAsia="仿宋_GB2312"/>
                <w:sz w:val="24"/>
              </w:rPr>
              <w:t>、所有根据项目合同或其他原因需供应商支付的（缴纳的）费用都要包括在供应商提交的投标报价中。</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、供应商所报的价格在合同执行过程中是固定不变的，不得以任何理由予以变更。</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、中标人应当按照合同约定履行义务，完成中标项目全部工作内容，未经招标人同意不得将中标项目转让</w:t>
            </w:r>
            <w:r>
              <w:rPr>
                <w:rFonts w:ascii="仿宋_GB2312" w:hAnsi="仿宋_GB2312" w:cs="仿宋_GB2312" w:eastAsia="仿宋_GB2312"/>
                <w:sz w:val="24"/>
              </w:rPr>
              <w:t>(</w:t>
            </w:r>
            <w:r>
              <w:rPr>
                <w:rFonts w:ascii="仿宋_GB2312" w:hAnsi="仿宋_GB2312" w:cs="仿宋_GB2312" w:eastAsia="仿宋_GB2312"/>
                <w:sz w:val="24"/>
              </w:rPr>
              <w:t>转包</w:t>
            </w:r>
            <w:r>
              <w:rPr>
                <w:rFonts w:ascii="仿宋_GB2312" w:hAnsi="仿宋_GB2312" w:cs="仿宋_GB2312" w:eastAsia="仿宋_GB2312"/>
                <w:sz w:val="24"/>
              </w:rPr>
              <w:t>)</w:t>
            </w:r>
            <w:r>
              <w:rPr>
                <w:rFonts w:ascii="仿宋_GB2312" w:hAnsi="仿宋_GB2312" w:cs="仿宋_GB2312" w:eastAsia="仿宋_GB2312"/>
                <w:sz w:val="24"/>
              </w:rPr>
              <w:t>给他人。否则，招标人有权终止合同，重新确定中标人，签定合同。</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、系统的安装部署、使用需在医院自有硬件环境下部署完成并符合国家、医院对数据安全标准的要求。</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、中标方在系统的数据使用方面与医院签署数据保密安全协议，保障医院患者医疗隐私数据的安全。</w:t>
            </w:r>
          </w:p>
          <w:p>
            <w:pPr>
              <w:pStyle w:val="null3"/>
              <w:ind w:left="480"/>
              <w:jc w:val="both"/>
            </w:pPr>
            <w:r>
              <w:rPr>
                <w:rFonts w:ascii="仿宋_GB2312" w:hAnsi="仿宋_GB2312" w:cs="仿宋_GB2312" w:eastAsia="仿宋_GB2312"/>
                <w:sz w:val="24"/>
                <w:b/>
              </w:rPr>
              <w:t>（五）</w:t>
            </w:r>
            <w:r>
              <w:rPr>
                <w:rFonts w:ascii="仿宋_GB2312" w:hAnsi="仿宋_GB2312" w:cs="仿宋_GB2312" w:eastAsia="仿宋_GB2312"/>
                <w:sz w:val="24"/>
                <w:b/>
              </w:rPr>
              <w:t>合同实施：</w:t>
            </w:r>
          </w:p>
          <w:p>
            <w:pPr>
              <w:pStyle w:val="null3"/>
              <w:ind w:firstLine="480"/>
              <w:jc w:val="both"/>
            </w:pPr>
            <w:r>
              <w:rPr>
                <w:rFonts w:ascii="仿宋_GB2312" w:hAnsi="仿宋_GB2312" w:cs="仿宋_GB2312" w:eastAsia="仿宋_GB2312"/>
                <w:sz w:val="24"/>
              </w:rPr>
              <w:t>1、中标单位应在合同签订后7个日历日内安排人员（项目组成人员简历表所列）与采购人就服务、安装、调试、培训等工作进行安排、部署。</w:t>
            </w:r>
          </w:p>
          <w:p>
            <w:pPr>
              <w:pStyle w:val="null3"/>
              <w:ind w:firstLine="480"/>
              <w:jc w:val="both"/>
            </w:pPr>
            <w:r>
              <w:rPr>
                <w:rFonts w:ascii="仿宋_GB2312" w:hAnsi="仿宋_GB2312" w:cs="仿宋_GB2312" w:eastAsia="仿宋_GB2312"/>
                <w:sz w:val="24"/>
              </w:rPr>
              <w:t>2、若未能在合同履行期限内完成合同规定的义务，由此对采购方造成的延误和一切损失，由中标单位承担和赔偿。</w:t>
            </w:r>
          </w:p>
          <w:p>
            <w:pPr>
              <w:pStyle w:val="null3"/>
              <w:ind w:left="480"/>
              <w:jc w:val="both"/>
            </w:pPr>
            <w:r>
              <w:rPr>
                <w:rFonts w:ascii="仿宋_GB2312" w:hAnsi="仿宋_GB2312" w:cs="仿宋_GB2312" w:eastAsia="仿宋_GB2312"/>
                <w:sz w:val="24"/>
                <w:b/>
              </w:rPr>
              <w:t>（六）</w:t>
            </w:r>
            <w:r>
              <w:rPr>
                <w:rFonts w:ascii="仿宋_GB2312" w:hAnsi="仿宋_GB2312" w:cs="仿宋_GB2312" w:eastAsia="仿宋_GB2312"/>
                <w:sz w:val="24"/>
                <w:b/>
              </w:rPr>
              <w:t>项目验收要求</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、系统试运行</w:t>
            </w:r>
          </w:p>
          <w:p>
            <w:pPr>
              <w:pStyle w:val="null3"/>
              <w:ind w:firstLine="480"/>
              <w:jc w:val="both"/>
            </w:pPr>
            <w:r>
              <w:rPr>
                <w:rFonts w:ascii="仿宋_GB2312" w:hAnsi="仿宋_GB2312" w:cs="仿宋_GB2312" w:eastAsia="仿宋_GB2312"/>
                <w:sz w:val="24"/>
              </w:rPr>
              <w:t>项目实施完成后可提出试运行申请。</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试运行期间，系统的功能和性能应符合招标文件技术要求。如果在试运行期内的任何时刻发现任何与合同技术文件不符之处，供应商有责任对其进行修改和矫正，直到其达到合同技术的规定。在试运行期间若发生与本文件不符或与合同项目初步验收记录不一致的情况时，双方要进行协商，及时进行解决，否则采购人不予合同项目完成验收。</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）若试运行期间，所提供的系统发生质量问题，供应商及时进行解决，试运行期顺延。</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）试运行期若所提供的系统出现故障，应及时排除。其试运行期自系统故障排除之日起根据故障持续的时间做相应顺延。</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）试运行期内，如果发生</w:t>
            </w:r>
            <w:r>
              <w:rPr>
                <w:rFonts w:ascii="仿宋_GB2312" w:hAnsi="仿宋_GB2312" w:cs="仿宋_GB2312" w:eastAsia="仿宋_GB2312"/>
                <w:sz w:val="24"/>
              </w:rPr>
              <w:t>3</w:t>
            </w:r>
            <w:r>
              <w:rPr>
                <w:rFonts w:ascii="仿宋_GB2312" w:hAnsi="仿宋_GB2312" w:cs="仿宋_GB2312" w:eastAsia="仿宋_GB2312"/>
                <w:sz w:val="24"/>
              </w:rPr>
              <w:t>次同类质量故障，则试运行重新开始。</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）试运行期内，由于供应商原因造成整个系统瘫痪，并且供应商不能在接到采购人通知后三个工作日内使系统恢复正常运行，则试运行期将自系统恢复正常运行之日起重新开始计算。</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）所提供的系统试运行期内如果有最新软件版本推出，供应商应免费为采购人进行系统升级。</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）在试运行期满后，工程质量或所提供的系统与技术要求相符，由采购人与供应商共同签订试运行稳定运行报告。</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、项目验收</w:t>
            </w:r>
          </w:p>
          <w:p>
            <w:pPr>
              <w:pStyle w:val="null3"/>
              <w:ind w:firstLine="480"/>
              <w:jc w:val="both"/>
            </w:pPr>
            <w:r>
              <w:rPr>
                <w:rFonts w:ascii="仿宋_GB2312" w:hAnsi="仿宋_GB2312" w:cs="仿宋_GB2312" w:eastAsia="仿宋_GB2312"/>
                <w:sz w:val="24"/>
              </w:rPr>
              <w:t>本项目系统上线试运行结束且系统满足招标参数要求后，按照国家及行业相关标准由采购人组织验收，验收规范</w:t>
            </w:r>
            <w:r>
              <w:rPr>
                <w:rFonts w:ascii="仿宋_GB2312" w:hAnsi="仿宋_GB2312" w:cs="仿宋_GB2312" w:eastAsia="仿宋_GB2312"/>
                <w:sz w:val="24"/>
              </w:rPr>
              <w:t>(</w:t>
            </w:r>
            <w:r>
              <w:rPr>
                <w:rFonts w:ascii="仿宋_GB2312" w:hAnsi="仿宋_GB2312" w:cs="仿宋_GB2312" w:eastAsia="仿宋_GB2312"/>
                <w:sz w:val="24"/>
              </w:rPr>
              <w:t>包括项目、指标、方式和测试方案等</w:t>
            </w:r>
            <w:r>
              <w:rPr>
                <w:rFonts w:ascii="仿宋_GB2312" w:hAnsi="仿宋_GB2312" w:cs="仿宋_GB2312" w:eastAsia="仿宋_GB2312"/>
                <w:sz w:val="24"/>
              </w:rPr>
              <w:t>)</w:t>
            </w:r>
            <w:r>
              <w:rPr>
                <w:rFonts w:ascii="仿宋_GB2312" w:hAnsi="仿宋_GB2312" w:cs="仿宋_GB2312" w:eastAsia="仿宋_GB2312"/>
                <w:sz w:val="24"/>
              </w:rPr>
              <w:t>应由供应商在约定验收时间前两周提交给采购人。采购人可根据合同及技术规范和有关规定进行修改和补充，经双方确认后形成验收文件作为验收依据。验收合格后，系统进入正式运行状态，即进入保修期。</w:t>
            </w:r>
          </w:p>
          <w:p>
            <w:pPr>
              <w:pStyle w:val="null3"/>
              <w:jc w:val="both"/>
            </w:pPr>
            <w:r>
              <w:rPr>
                <w:rFonts w:ascii="仿宋_GB2312" w:hAnsi="仿宋_GB2312" w:cs="仿宋_GB2312" w:eastAsia="仿宋_GB2312"/>
                <w:sz w:val="24"/>
              </w:rPr>
              <w:t>项目验收合格条件如下：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）技术参数与采购合同一致，性能指标达到规定的标准。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）技术资料齐全并与投标时所提供的技术资料一致。</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）软件产品在安装调试并试运行符合要求。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）在系统调试期间所出现的问题得到解决，并运行正常。</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）在规定时间内完成交付，并经采购人确认。</w:t>
            </w:r>
          </w:p>
          <w:p>
            <w:pPr>
              <w:pStyle w:val="null3"/>
              <w:ind w:firstLine="482"/>
              <w:jc w:val="both"/>
            </w:pPr>
            <w:r>
              <w:rPr>
                <w:rFonts w:ascii="仿宋_GB2312" w:hAnsi="仿宋_GB2312" w:cs="仿宋_GB2312" w:eastAsia="仿宋_GB2312"/>
                <w:sz w:val="24"/>
                <w:b/>
              </w:rPr>
              <w:t>（七）</w:t>
            </w:r>
            <w:r>
              <w:rPr>
                <w:rFonts w:ascii="仿宋_GB2312" w:hAnsi="仿宋_GB2312" w:cs="仿宋_GB2312" w:eastAsia="仿宋_GB2312"/>
                <w:sz w:val="24"/>
                <w:b/>
              </w:rPr>
              <w:t>违约责任：</w:t>
            </w:r>
          </w:p>
          <w:p>
            <w:pPr>
              <w:pStyle w:val="null3"/>
              <w:ind w:firstLine="480"/>
              <w:jc w:val="both"/>
            </w:pPr>
            <w:r>
              <w:rPr>
                <w:rFonts w:ascii="仿宋_GB2312" w:hAnsi="仿宋_GB2312" w:cs="仿宋_GB2312" w:eastAsia="仿宋_GB2312"/>
                <w:sz w:val="24"/>
              </w:rPr>
              <w:t>1、按《中华人民共和国民法典》中的相关条款执行；</w:t>
            </w:r>
          </w:p>
          <w:p>
            <w:pPr>
              <w:pStyle w:val="null3"/>
              <w:ind w:firstLine="480"/>
              <w:jc w:val="both"/>
            </w:pPr>
            <w:r>
              <w:rPr>
                <w:rFonts w:ascii="仿宋_GB2312" w:hAnsi="仿宋_GB2312" w:cs="仿宋_GB2312" w:eastAsia="仿宋_GB2312"/>
                <w:sz w:val="24"/>
              </w:rPr>
              <w:t>2、乙方未能按期履行合同或乙方未按合同要求提供货物或货物质量不能满足甲方要求，甲方有权单方面解除合同，乙方除应返还甲方已支付的款项外，还应承担本合同总金额20%的违约金，违约金不足以弥补损失的，乙方应予补足；</w:t>
            </w:r>
          </w:p>
          <w:p>
            <w:pPr>
              <w:pStyle w:val="null3"/>
              <w:ind w:firstLine="480"/>
              <w:jc w:val="both"/>
            </w:pPr>
            <w:r>
              <w:rPr>
                <w:rFonts w:ascii="仿宋_GB2312" w:hAnsi="仿宋_GB2312" w:cs="仿宋_GB2312" w:eastAsia="仿宋_GB2312"/>
                <w:sz w:val="24"/>
              </w:rPr>
              <w:t>3、交货期每逾期一天，乙方应向甲方支付合同总价款的5‰违约金。逾期超过15日的，甲方有单方面解除本合同，乙方除退还甲方已支付全部费用外还应按照合同总价的20%向甲方支付违约金。违约金不足以弥补损失的，乙方应予以补足。</w:t>
            </w:r>
          </w:p>
          <w:p>
            <w:pPr>
              <w:pStyle w:val="null3"/>
              <w:ind w:firstLine="480"/>
              <w:jc w:val="both"/>
            </w:pPr>
            <w:r>
              <w:rPr>
                <w:rFonts w:ascii="仿宋_GB2312" w:hAnsi="仿宋_GB2312" w:cs="仿宋_GB2312" w:eastAsia="仿宋_GB2312"/>
                <w:sz w:val="24"/>
              </w:rPr>
              <w:t>4、未按合同要求提供产品或设备质量不能满足技术要求，采购方有权终止合同，并对中标单位违约行为进行追究，同时按《政府采购法》的有关规定进行处罚。</w:t>
            </w:r>
          </w:p>
          <w:p>
            <w:pPr>
              <w:pStyle w:val="null3"/>
              <w:ind w:firstLine="482"/>
              <w:jc w:val="both"/>
            </w:pPr>
            <w:r>
              <w:rPr>
                <w:rFonts w:ascii="仿宋_GB2312" w:hAnsi="仿宋_GB2312" w:cs="仿宋_GB2312" w:eastAsia="仿宋_GB2312"/>
                <w:sz w:val="24"/>
                <w:b/>
              </w:rPr>
              <w:t>注：商务要求为实质性要求，不得负偏离。</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本次项目建设周期为90日历天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项目完成，且通过项目验收后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免费维保服务期结束后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同时，线下提交投标文件正本壹套、副本贰套。若电子投标文件与纸质投标文件不一致的，以电子投标文件为准。线下递交文件截止时间：在投标截止时间之前密封递交；线下递交至西安市未央区北二环大明宫立交桥百寰国际2705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良好的商业信誉和健全的财务会计制度</w:t>
            </w:r>
          </w:p>
        </w:tc>
        <w:tc>
          <w:tcPr>
            <w:tcW w:type="dxa" w:w="3322"/>
          </w:tcPr>
          <w:p>
            <w:pPr>
              <w:pStyle w:val="null3"/>
            </w:pPr>
            <w:r>
              <w:rPr>
                <w:rFonts w:ascii="仿宋_GB2312" w:hAnsi="仿宋_GB2312" w:cs="仿宋_GB2312" w:eastAsia="仿宋_GB2312"/>
              </w:rPr>
              <w:t>良好的商业信誉和健全的财务会计制度：供应商提供2024年度经审计的财务报告或在2025年2月1日至今其基本开户银行出具的资信证明（需附开户银行证明材料）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有依法缴纳税收和社会保障资金的良好记录：供应商提供时间在2025年2月1日至今任意时段的缴纳证明；供应商需在项目电子化交易系统中按要求上传相应证明文件并进行电子签章。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书面声明：①参加政府采购活动前三年内，在经营活动中没有重大违法记录的书面声明；②提供具有履行本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法律、行政法规规定的其他条件：法定代表人直接参加投标的，须提供法定代表人身份证明；法定代表人授权代表参加投标的，须提供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供应商企业关系关联及联合体说明：本项目不接受联合体投标，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备注</w:t>
            </w:r>
          </w:p>
        </w:tc>
        <w:tc>
          <w:tcPr>
            <w:tcW w:type="dxa" w:w="3322"/>
          </w:tcPr>
          <w:p>
            <w:pPr>
              <w:pStyle w:val="null3"/>
            </w:pPr>
            <w:r>
              <w:rPr>
                <w:rFonts w:ascii="仿宋_GB2312" w:hAnsi="仿宋_GB2312" w:cs="仿宋_GB2312" w:eastAsia="仿宋_GB2312"/>
              </w:rPr>
              <w:t>备注：①以上为投标人必备资格要求，资格证明文件无效或缺项投标文件按无效文件处理。②分支机构参与投标时，须提供分支机构符合资格要求的证明文件。③书面声明、法定代表人身份证明和法定代表人授权委托书应按招标文件的要求填写，投标文件中必须附原件，其他资格证明文件提供复印件并加盖投标人公章。④依法免税或不需要缴纳社会保障资金的投标人须提供相应证明文件；事业单位法人可不提供财务状况报告和社会保障资金缴纳证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投标文件语言及有效期是否符合招标文件要求</w:t>
            </w:r>
          </w:p>
        </w:tc>
        <w:tc>
          <w:tcPr>
            <w:tcW w:type="dxa" w:w="1661"/>
          </w:tcPr>
          <w:p>
            <w:pPr>
              <w:pStyle w:val="null3"/>
            </w:pPr>
            <w:r>
              <w:rPr>
                <w:rFonts w:ascii="仿宋_GB2312" w:hAnsi="仿宋_GB2312" w:cs="仿宋_GB2312" w:eastAsia="仿宋_GB2312"/>
              </w:rPr>
              <w:t>开标一览表.docx 系统设计方案.docx 开标一览表 业绩.docx 培训方案.docx 中小企业声明函 售后服务能力.docx 资格证明文件.docx 组织实施方案.docx 应急预案.docx 商务及技术规格响应偏离表.docx 人员配置及责任制度.docx 投标函 残疾人福利性单位声明函 标的清单 投标文件封面 供应商认为有必要补充说明的事宜.docx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投标文件是否符合招标文件签字、盖章要求</w:t>
            </w:r>
          </w:p>
        </w:tc>
        <w:tc>
          <w:tcPr>
            <w:tcW w:type="dxa" w:w="1661"/>
          </w:tcPr>
          <w:p>
            <w:pPr>
              <w:pStyle w:val="null3"/>
            </w:pPr>
            <w:r>
              <w:rPr>
                <w:rFonts w:ascii="仿宋_GB2312" w:hAnsi="仿宋_GB2312" w:cs="仿宋_GB2312" w:eastAsia="仿宋_GB2312"/>
              </w:rPr>
              <w:t>开标一览表.docx 系统设计方案.docx 开标一览表 业绩.docx 培训方案.docx 中小企业声明函 售后服务能力.docx 资格证明文件.docx 组织实施方案.docx 应急预案.docx 商务及技术规格响应偏离表.docx 人员配置及责任制度.docx 投标函 残疾人福利性单位声明函 标的清单 投标文件封面 供应商认为有必要补充说明的事宜.docx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投标文件是否符合下列要求： （1）投标报价符合唯一性要求；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保证金缴纳凭证</w:t>
            </w:r>
          </w:p>
        </w:tc>
        <w:tc>
          <w:tcPr>
            <w:tcW w:type="dxa" w:w="3322"/>
          </w:tcPr>
          <w:p>
            <w:pPr>
              <w:pStyle w:val="null3"/>
            </w:pPr>
            <w:r>
              <w:rPr>
                <w:rFonts w:ascii="仿宋_GB2312" w:hAnsi="仿宋_GB2312" w:cs="仿宋_GB2312" w:eastAsia="仿宋_GB2312"/>
              </w:rPr>
              <w:t>提供保证金转账凭证或财政部门认可的政府采购专业担保机构出具的投标担保函是否符合招标文件要求</w:t>
            </w:r>
          </w:p>
        </w:tc>
        <w:tc>
          <w:tcPr>
            <w:tcW w:type="dxa" w:w="1661"/>
          </w:tcPr>
          <w:p>
            <w:pPr>
              <w:pStyle w:val="null3"/>
            </w:pPr>
            <w:r>
              <w:rPr>
                <w:rFonts w:ascii="仿宋_GB2312" w:hAnsi="仿宋_GB2312" w:cs="仿宋_GB2312" w:eastAsia="仿宋_GB2312"/>
              </w:rPr>
              <w:t>投标文件封面 供应商认为有必要补充说明的事宜.docx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要求全面响应，符合招标文件相关要求；不能有任何采购人不能接受的附加条件。</w:t>
            </w:r>
          </w:p>
        </w:tc>
        <w:tc>
          <w:tcPr>
            <w:tcW w:type="dxa" w:w="1661"/>
          </w:tcPr>
          <w:p>
            <w:pPr>
              <w:pStyle w:val="null3"/>
            </w:pPr>
            <w:r>
              <w:rPr>
                <w:rFonts w:ascii="仿宋_GB2312" w:hAnsi="仿宋_GB2312" w:cs="仿宋_GB2312" w:eastAsia="仿宋_GB2312"/>
              </w:rPr>
              <w:t>商务及技术规格响应偏离表.docx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完全理解并接受法律法规和招标文件对供应商的各项须知、规约要求和责任义务，没有出现法律法规或招标文件明确规定的其他被视为“无效投标”的情形。</w:t>
            </w:r>
          </w:p>
        </w:tc>
        <w:tc>
          <w:tcPr>
            <w:tcW w:type="dxa" w:w="1661"/>
          </w:tcPr>
          <w:p>
            <w:pPr>
              <w:pStyle w:val="null3"/>
            </w:pPr>
            <w:r>
              <w:rPr>
                <w:rFonts w:ascii="仿宋_GB2312" w:hAnsi="仿宋_GB2312" w:cs="仿宋_GB2312" w:eastAsia="仿宋_GB2312"/>
              </w:rPr>
              <w:t>开标一览表.docx 系统设计方案.docx 开标一览表 业绩.docx 培训方案.docx 中小企业声明函 售后服务能力.docx 资格证明文件.docx 组织实施方案.docx 应急预案.docx 商务及技术规格响应偏离表.docx 人员配置及责任制度.docx 投标函 残疾人福利性单位声明函 标的清单 投标文件封面 供应商认为有必要补充说明的事宜.docx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技术参数指标明确、软件功能完全满足招标要求的得15分，带“▲”项为重要技术参数要求，带▲的参数每有一项未响应或负偏离的扣2分，其他技术参数每有一项未响应或负偏离的扣1分，扣完为止。 备注：1.标注▲项参数均需提供相关证明资料（包括但不限于彩页、软件功能截图等证明文件，如未提供相关证明材料，则该项参数按负偏离对待，按上述规定相应扣分）。 2.其他技术参数经评标委会员认定，技术参数未按实填写或完全按照招标文件复制粘贴的，按上述规定相应扣分。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商务及技术规格响应偏离表.docx</w:t>
            </w:r>
          </w:p>
        </w:tc>
      </w:tr>
      <w:tr>
        <w:tc>
          <w:tcPr>
            <w:tcW w:type="dxa" w:w="831"/>
            <w:vMerge/>
          </w:tcPr>
          <w:p/>
        </w:tc>
        <w:tc>
          <w:tcPr>
            <w:tcW w:type="dxa" w:w="1661"/>
          </w:tcPr>
          <w:p>
            <w:pPr>
              <w:pStyle w:val="null3"/>
            </w:pPr>
            <w:r>
              <w:rPr>
                <w:rFonts w:ascii="仿宋_GB2312" w:hAnsi="仿宋_GB2312" w:cs="仿宋_GB2312" w:eastAsia="仿宋_GB2312"/>
              </w:rPr>
              <w:t>系统设计方案</w:t>
            </w:r>
          </w:p>
        </w:tc>
        <w:tc>
          <w:tcPr>
            <w:tcW w:type="dxa" w:w="2492"/>
          </w:tcPr>
          <w:p>
            <w:pPr>
              <w:pStyle w:val="null3"/>
            </w:pPr>
            <w:r>
              <w:rPr>
                <w:rFonts w:ascii="仿宋_GB2312" w:hAnsi="仿宋_GB2312" w:cs="仿宋_GB2312" w:eastAsia="仿宋_GB2312"/>
              </w:rPr>
              <w:t>一、评审内容 供应商提供针对本项目的总体设计方案，内容包括①项目需求分析、建设目标理解、②技术路线、技术架构、应用架构、功能组成、功能描述等设计、③模块详细设计。 二、评审标准 1.完整性：方案必须全面，对评审内容中的各项要求有详细描述； 2.可实施性：切合本项目实际情况，提出步骤清晰、满足需求的方案； 3.针对性：方案能够紧扣项目实际情况，内容科学合理。 三、赋分标准（满分9分） ①项目需求分析、建设目标理解：每完全满足一个评审标准得1分，满分3分。 ②技术路线、技术架构、应用架构、功能组成、功能描述等设计：每完全满足一个评审标准得1分，满分3分。 ③模块详细设计：每完全满足一个评审标准得1分，满分3分。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系统设计方案.docx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一、评审内容 供应商提供针对本项目的实施方案，内容包括①系统安装部署、②系统调试及测试、③系统培训、④系统试运行、验收。 二、评审标准 1.完整性：方案必须全面，对评审内容中的各项要求有详细描述； 2.可实施性：切合本项目实际情况，提出步骤清晰、满足需求的方案。 3.针对性：方案能够紧扣项目实际情况，内容科学合理。 三、赋分标准（满分12分） ①系统安装部署：每完全满足一个评审标准得1分，满分3分。 ②系统调试及测试：每完全满足一个评审标准得1分，满分3分。 ③系统培训：每完全满足一个评审标准得1分，满分3分。 ④系统试运行、验收：每完全满足一个评审标准得1分，满分3分。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组织实施方案.docx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一、评审内容 供应商提供针对本项目售后服务方案，内容包括①售后服务承诺、②运维计划、③售后服务标准、④售后服务内容、⑤故障响应时间和方式、质保期。 二、评审标准 1.完整性：方案必须全面，对评审内容中的各项要求有详细描述； 2.可实施性：切合本项目实际情况，提出步骤清晰、满足需求的方案。 3.针对性：方案能够紧扣项目实际情况，内容科学合理。 三、赋分标准（满分9分） ①售后服务承诺：每完全满足一个评审标准得0.5分，满分1.5分。 ②运维计划：每完全满足一个评审标准得0.5分，满分1.5分。 ③售后服务标准：每完全满足一个评审标准得0.5分，满分1.5分。 ④售后服务内容：每完全满足一个评审标准得0.5分，满分1.5分。 ⑤故障响应时间和方式、质保期：每完全满足一个评审标准得1分，满分3分。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售后服务能力.docx</w:t>
            </w:r>
          </w:p>
        </w:tc>
      </w:tr>
      <w:tr>
        <w:tc>
          <w:tcPr>
            <w:tcW w:type="dxa" w:w="831"/>
            <w:vMerge/>
          </w:tcPr>
          <w:p/>
        </w:tc>
        <w:tc>
          <w:tcPr>
            <w:tcW w:type="dxa" w:w="1661"/>
          </w:tcPr>
          <w:p>
            <w:pPr>
              <w:pStyle w:val="null3"/>
            </w:pPr>
            <w:r>
              <w:rPr>
                <w:rFonts w:ascii="仿宋_GB2312" w:hAnsi="仿宋_GB2312" w:cs="仿宋_GB2312" w:eastAsia="仿宋_GB2312"/>
              </w:rPr>
              <w:t>人员配置及责任制度</w:t>
            </w:r>
          </w:p>
        </w:tc>
        <w:tc>
          <w:tcPr>
            <w:tcW w:type="dxa" w:w="2492"/>
          </w:tcPr>
          <w:p>
            <w:pPr>
              <w:pStyle w:val="null3"/>
            </w:pPr>
            <w:r>
              <w:rPr>
                <w:rFonts w:ascii="仿宋_GB2312" w:hAnsi="仿宋_GB2312" w:cs="仿宋_GB2312" w:eastAsia="仿宋_GB2312"/>
              </w:rPr>
              <w:t>供应商针对本次采购任务拟投入本项目的人员配置及责任制度，根据响应情况计0-4分。 人员配备齐全（例如研发、实施、培训、售后等人员）、专业性强、责任制度清晰、职责划分明确，具备4人以上得1.1-4分； 人员配备不够齐全、职责划分不够明确，人员不足4人的得0-1分。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人员配置及责任制度.docx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供应商针对本项目的采购需求提供应急处理方案，内容包括①应急访问方案、②应对突发事件的应急处理措施、③应急人员投入和积极应对特殊情况的响应时限。 二、评审标准 1.完整性：方案必须全面，对评审内容中的各项要求有详细描述； 2.可实施性：切合本项目实际情况，提出步骤清晰、满足需求的方案。 3.针对性：方案能够紧扣项目实际情况，内容科学合理。 三、赋分标准（满分6分） ①应急访问方案：每完全满足一个评审标准得0.5分，满分1.5分。 ②应对突发事件的应急处理措施：每完全满足一个评审标准得0.5分，满分1.5分。 ③应急人员投入和积极应对特殊情况的响应时限：每完全满足一个评审标准得1分，满分3分。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培训 方案</w:t>
            </w:r>
          </w:p>
        </w:tc>
        <w:tc>
          <w:tcPr>
            <w:tcW w:type="dxa" w:w="2492"/>
          </w:tcPr>
          <w:p>
            <w:pPr>
              <w:pStyle w:val="null3"/>
            </w:pPr>
            <w:r>
              <w:rPr>
                <w:rFonts w:ascii="仿宋_GB2312" w:hAnsi="仿宋_GB2312" w:cs="仿宋_GB2312" w:eastAsia="仿宋_GB2312"/>
              </w:rPr>
              <w:t>一、评审内容 根据本项目实际需求提供技术培训方案，①日常使用操作、管理与日常维护，②紧急情况的处理，保证用户能够熟练操作及故障的诊断和处理、③安全管理措施。 二、评审标准 1.完整性：方案必须全面，对评审内容中的各项要求有详细描述； 2.可实施性：切合本项目实际情况，提出步骤清晰、满足需求的方案。 3.针对性：方案能够紧扣项目实际情况，内容科学合理。 三、赋分标准（满分9分） ①日常使用操作、保养、管理与日常维护：每完全满足一个评审标准得1分，满分3分。 ②紧急情况的处理，保证用户能够熟练操作及简单故障的排除等：每完全满足一个评审标准得1分，满分3分。 ③安全管理措施：每完全满足一个评审标准得1分，满分3分。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供应商需提供2022年1月至今类似项目业绩（以合同签订日期为准，供应商所提供合同必须有签订日期），每提供一个计2分，满分6分。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满足招标文件要求且评审报价最低的报价为评标基准价，其价格分为满分。其他供应商的价格分统一按照下列公式计算： 投标报价得分=（评标基准价/投标报价）×价格权值。 符合招标文件规定的小微企业、监狱企业、残疾人福利企业优惠条件的供应商，价格给予10%的扣除，用扣除后的价格参与评审。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详见附件：组织实施方案.docx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详见附件：系统设计方案.docx</w:t>
      </w:r>
    </w:p>
    <w:p>
      <w:pPr>
        <w:pStyle w:val="null3"/>
        <w:ind w:firstLine="960"/>
      </w:pPr>
      <w:r>
        <w:rPr>
          <w:rFonts w:ascii="仿宋_GB2312" w:hAnsi="仿宋_GB2312" w:cs="仿宋_GB2312" w:eastAsia="仿宋_GB2312"/>
        </w:rPr>
        <w:t>详见附件：售后服务能力.docx</w:t>
      </w:r>
    </w:p>
    <w:p>
      <w:pPr>
        <w:pStyle w:val="null3"/>
        <w:ind w:firstLine="960"/>
      </w:pPr>
      <w:r>
        <w:rPr>
          <w:rFonts w:ascii="仿宋_GB2312" w:hAnsi="仿宋_GB2312" w:cs="仿宋_GB2312" w:eastAsia="仿宋_GB2312"/>
        </w:rPr>
        <w:t>详见附件：商务及技术规格响应偏离表.docx</w:t>
      </w:r>
    </w:p>
    <w:p>
      <w:pPr>
        <w:pStyle w:val="null3"/>
        <w:ind w:firstLine="960"/>
      </w:pPr>
      <w:r>
        <w:rPr>
          <w:rFonts w:ascii="仿宋_GB2312" w:hAnsi="仿宋_GB2312" w:cs="仿宋_GB2312" w:eastAsia="仿宋_GB2312"/>
        </w:rPr>
        <w:t>详见附件：人员配置及责任制度.docx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