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1281F">
      <w:pPr>
        <w:pStyle w:val="2"/>
        <w:spacing w:before="0" w:after="0" w:line="360" w:lineRule="auto"/>
        <w:rPr>
          <w:rFonts w:ascii="宋体" w:hAnsi="宋体" w:cs="宋体"/>
          <w:color w:val="auto"/>
          <w:szCs w:val="24"/>
        </w:rPr>
      </w:pPr>
      <w:r>
        <w:rPr>
          <w:rFonts w:hint="eastAsia" w:ascii="宋体" w:hAnsi="宋体" w:cs="宋体"/>
          <w:color w:val="auto"/>
          <w:lang w:val="en-US" w:eastAsia="zh-CN"/>
        </w:rPr>
        <w:t>拟签订</w:t>
      </w:r>
      <w:bookmarkStart w:id="0" w:name="_GoBack"/>
      <w:bookmarkEnd w:id="0"/>
      <w:r>
        <w:rPr>
          <w:rFonts w:hint="eastAsia" w:ascii="宋体" w:hAnsi="宋体" w:cs="宋体"/>
          <w:color w:val="auto"/>
        </w:rPr>
        <w:t>合同条款</w:t>
      </w:r>
    </w:p>
    <w:p w14:paraId="15CD077A">
      <w:pPr>
        <w:spacing w:line="360" w:lineRule="auto"/>
        <w:jc w:val="center"/>
        <w:rPr>
          <w:rFonts w:ascii="宋体" w:hAnsi="宋体" w:cs="宋体"/>
          <w:color w:val="auto"/>
          <w:sz w:val="28"/>
          <w:szCs w:val="28"/>
        </w:rPr>
      </w:pPr>
      <w:r>
        <w:rPr>
          <w:rFonts w:hint="eastAsia" w:ascii="宋体" w:hAnsi="宋体" w:cs="宋体"/>
          <w:b/>
          <w:bCs/>
          <w:color w:val="auto"/>
          <w:sz w:val="28"/>
          <w:szCs w:val="28"/>
        </w:rPr>
        <w:t xml:space="preserve">（参考合同格式和条款，依照最终签订的为准）      </w:t>
      </w:r>
      <w:r>
        <w:rPr>
          <w:rFonts w:hint="eastAsia" w:ascii="宋体" w:hAnsi="宋体" w:cs="宋体"/>
          <w:color w:val="auto"/>
          <w:sz w:val="28"/>
          <w:szCs w:val="28"/>
        </w:rPr>
        <w:t xml:space="preserve">            </w:t>
      </w:r>
    </w:p>
    <w:p w14:paraId="32FFAF78">
      <w:pPr>
        <w:rPr>
          <w:color w:val="auto"/>
          <w:lang w:eastAsia="zh-CN"/>
        </w:rPr>
      </w:pPr>
    </w:p>
    <w:p w14:paraId="3DC1E50F">
      <w:pPr>
        <w:spacing w:line="360" w:lineRule="auto"/>
        <w:ind w:firstLine="480" w:firstLineChars="200"/>
        <w:rPr>
          <w:rFonts w:hint="default" w:ascii="宋体" w:hAnsi="宋体" w:cs="宋体"/>
          <w:color w:val="auto"/>
          <w:sz w:val="24"/>
          <w:szCs w:val="24"/>
          <w:u w:val="single"/>
          <w:lang w:val="en-US" w:eastAsia="zh-CN"/>
        </w:rPr>
      </w:pPr>
      <w:r>
        <w:rPr>
          <w:rFonts w:hint="eastAsia" w:ascii="宋体" w:hAnsi="宋体" w:cs="宋体"/>
          <w:color w:val="auto"/>
          <w:sz w:val="24"/>
          <w:szCs w:val="24"/>
          <w:lang w:val="en-US" w:eastAsia="zh-CN"/>
        </w:rPr>
        <w:t>甲方：</w:t>
      </w:r>
      <w:r>
        <w:rPr>
          <w:rFonts w:hint="eastAsia" w:ascii="宋体" w:hAnsi="宋体" w:cs="宋体"/>
          <w:color w:val="auto"/>
          <w:sz w:val="24"/>
          <w:szCs w:val="24"/>
          <w:u w:val="single"/>
          <w:lang w:val="en-US" w:eastAsia="zh-CN"/>
        </w:rPr>
        <w:t xml:space="preserve">                                    </w:t>
      </w:r>
    </w:p>
    <w:p w14:paraId="56CCFFC0">
      <w:pPr>
        <w:spacing w:line="360" w:lineRule="auto"/>
        <w:ind w:firstLine="480" w:firstLineChars="200"/>
        <w:rPr>
          <w:rFonts w:hint="default" w:ascii="宋体" w:hAnsi="宋体" w:cs="宋体"/>
          <w:color w:val="auto"/>
          <w:sz w:val="24"/>
          <w:szCs w:val="24"/>
          <w:u w:val="single"/>
          <w:lang w:val="en-US" w:eastAsia="zh-CN"/>
        </w:rPr>
      </w:pPr>
      <w:r>
        <w:rPr>
          <w:rFonts w:hint="eastAsia" w:ascii="宋体" w:hAnsi="宋体" w:cs="宋体"/>
          <w:color w:val="auto"/>
          <w:sz w:val="24"/>
          <w:szCs w:val="24"/>
          <w:lang w:val="en-US" w:eastAsia="zh-CN"/>
        </w:rPr>
        <w:t>乙方：</w:t>
      </w:r>
      <w:r>
        <w:rPr>
          <w:rFonts w:hint="eastAsia" w:ascii="宋体" w:hAnsi="宋体" w:cs="宋体"/>
          <w:color w:val="auto"/>
          <w:sz w:val="24"/>
          <w:szCs w:val="24"/>
          <w:u w:val="single"/>
          <w:lang w:val="en-US" w:eastAsia="zh-CN"/>
        </w:rPr>
        <w:t xml:space="preserve">                                    </w:t>
      </w:r>
    </w:p>
    <w:p w14:paraId="35E83A5F">
      <w:pPr>
        <w:spacing w:line="360" w:lineRule="auto"/>
        <w:ind w:firstLine="480" w:firstLineChars="200"/>
        <w:rPr>
          <w:rFonts w:hint="default" w:ascii="宋体" w:hAnsi="宋体" w:cs="宋体"/>
          <w:color w:val="auto"/>
          <w:sz w:val="24"/>
          <w:szCs w:val="24"/>
          <w:lang w:val="en-US" w:eastAsia="zh-CN"/>
        </w:rPr>
      </w:pPr>
    </w:p>
    <w:p w14:paraId="5C6C576A">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甲乙</w:t>
      </w:r>
      <w:r>
        <w:rPr>
          <w:rFonts w:hint="eastAsia" w:ascii="宋体" w:hAnsi="宋体" w:cs="宋体"/>
          <w:color w:val="auto"/>
          <w:sz w:val="24"/>
          <w:szCs w:val="24"/>
          <w:lang w:val="en-US" w:eastAsia="zh-CN"/>
        </w:rPr>
        <w:t>双方</w:t>
      </w:r>
      <w:r>
        <w:rPr>
          <w:rFonts w:hint="eastAsia" w:ascii="宋体" w:hAnsi="宋体" w:eastAsia="宋体" w:cs="宋体"/>
          <w:color w:val="auto"/>
          <w:sz w:val="24"/>
          <w:szCs w:val="24"/>
          <w:lang w:eastAsia="zh-CN"/>
        </w:rPr>
        <w:t>本着平等友好、公平公正、互惠互利的原则，依据 《中华人民共和国民法典》，经协商，就乙方为甲方实施《</w:t>
      </w:r>
      <w:r>
        <w:rPr>
          <w:rFonts w:hint="eastAsia" w:ascii="宋体" w:hAnsi="宋体" w:cs="宋体"/>
          <w:b/>
          <w:bCs/>
          <w:color w:val="auto"/>
          <w:sz w:val="24"/>
          <w:szCs w:val="24"/>
          <w:lang w:val="en-US" w:eastAsia="zh-CN"/>
        </w:rPr>
        <w:t>项目名称</w:t>
      </w:r>
      <w:r>
        <w:rPr>
          <w:rFonts w:hint="eastAsia" w:ascii="宋体" w:hAnsi="宋体" w:eastAsia="宋体" w:cs="宋体"/>
          <w:color w:val="auto"/>
          <w:sz w:val="24"/>
          <w:szCs w:val="24"/>
          <w:lang w:eastAsia="zh-CN"/>
        </w:rPr>
        <w:t>》等相关事宜达成如下合同条款，</w:t>
      </w:r>
      <w:r>
        <w:rPr>
          <w:rFonts w:hint="eastAsia" w:ascii="宋体" w:hAnsi="宋体" w:cs="宋体"/>
          <w:color w:val="auto"/>
          <w:sz w:val="24"/>
          <w:szCs w:val="24"/>
          <w:lang w:val="en-US" w:eastAsia="zh-CN"/>
        </w:rPr>
        <w:t>双方</w:t>
      </w:r>
      <w:r>
        <w:rPr>
          <w:rFonts w:hint="eastAsia" w:ascii="宋体" w:hAnsi="宋体" w:eastAsia="宋体" w:cs="宋体"/>
          <w:color w:val="auto"/>
          <w:sz w:val="24"/>
          <w:szCs w:val="24"/>
          <w:lang w:eastAsia="zh-CN"/>
        </w:rPr>
        <w:t>方共同遵守：</w:t>
      </w:r>
    </w:p>
    <w:p w14:paraId="4FE14E83">
      <w:pPr>
        <w:spacing w:line="360" w:lineRule="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第一条 合作方式</w:t>
      </w:r>
    </w:p>
    <w:p w14:paraId="11A231E4">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乙方根据甲方的需求，实施《</w:t>
      </w:r>
      <w:r>
        <w:rPr>
          <w:rFonts w:hint="eastAsia" w:ascii="宋体" w:hAnsi="宋体" w:cs="宋体"/>
          <w:color w:val="auto"/>
          <w:sz w:val="24"/>
          <w:szCs w:val="24"/>
          <w:lang w:val="en-US" w:eastAsia="zh-CN"/>
        </w:rPr>
        <w:t>项目名称</w:t>
      </w:r>
      <w:r>
        <w:rPr>
          <w:rFonts w:ascii="宋体" w:hAnsi="宋体" w:eastAsia="宋体" w:cs="宋体"/>
          <w:color w:val="auto"/>
          <w:sz w:val="24"/>
          <w:szCs w:val="24"/>
          <w:lang w:eastAsia="zh-CN"/>
        </w:rPr>
        <w:t>》，并向甲方提供相关的技术培训、服务</w:t>
      </w:r>
      <w:r>
        <w:rPr>
          <w:rFonts w:hint="eastAsia" w:ascii="宋体" w:hAnsi="宋体" w:cs="宋体"/>
          <w:color w:val="auto"/>
          <w:sz w:val="24"/>
          <w:szCs w:val="24"/>
          <w:lang w:val="en-US" w:eastAsia="zh-CN"/>
        </w:rPr>
        <w:t>等</w:t>
      </w:r>
      <w:r>
        <w:rPr>
          <w:rFonts w:ascii="宋体" w:hAnsi="宋体" w:eastAsia="宋体" w:cs="宋体"/>
          <w:color w:val="auto"/>
          <w:sz w:val="24"/>
          <w:szCs w:val="24"/>
          <w:lang w:eastAsia="zh-CN"/>
        </w:rPr>
        <w:t>，提交项目所需的文件资料。</w:t>
      </w:r>
    </w:p>
    <w:p w14:paraId="1EDC0540">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第二条 项目及产品内容、金额及帐号信息</w:t>
      </w:r>
    </w:p>
    <w:p w14:paraId="15F6F690">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2.1 产品内容及金额</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182"/>
      </w:tblGrid>
      <w:tr w14:paraId="082E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40" w:type="dxa"/>
            <w:vAlign w:val="center"/>
          </w:tcPr>
          <w:p w14:paraId="5B4D99E8">
            <w:pPr>
              <w:spacing w:line="360" w:lineRule="auto"/>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序号</w:t>
            </w:r>
          </w:p>
        </w:tc>
        <w:tc>
          <w:tcPr>
            <w:tcW w:w="7182" w:type="dxa"/>
            <w:vAlign w:val="center"/>
          </w:tcPr>
          <w:p w14:paraId="24364A4A">
            <w:pPr>
              <w:spacing w:line="360" w:lineRule="auto"/>
              <w:jc w:val="center"/>
              <w:rPr>
                <w:rFonts w:ascii="宋体" w:hAnsi="宋体" w:eastAsia="宋体" w:cs="宋体"/>
                <w:color w:val="auto"/>
                <w:sz w:val="24"/>
                <w:szCs w:val="24"/>
                <w:lang w:eastAsia="zh-CN"/>
              </w:rPr>
            </w:pPr>
            <w:r>
              <w:rPr>
                <w:rFonts w:ascii="宋体" w:hAnsi="宋体" w:eastAsia="宋体" w:cs="宋体"/>
                <w:color w:val="auto"/>
                <w:sz w:val="24"/>
                <w:szCs w:val="24"/>
                <w:lang w:eastAsia="zh-CN"/>
              </w:rPr>
              <w:t>项目内容</w:t>
            </w:r>
          </w:p>
        </w:tc>
      </w:tr>
      <w:tr w14:paraId="5B8C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0" w:type="dxa"/>
            <w:vAlign w:val="center"/>
          </w:tcPr>
          <w:p w14:paraId="22E64D37">
            <w:pPr>
              <w:spacing w:line="360" w:lineRule="auto"/>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p>
        </w:tc>
        <w:tc>
          <w:tcPr>
            <w:tcW w:w="7182" w:type="dxa"/>
            <w:vAlign w:val="center"/>
          </w:tcPr>
          <w:p w14:paraId="471F556F">
            <w:pPr>
              <w:spacing w:line="360" w:lineRule="auto"/>
              <w:jc w:val="center"/>
              <w:rPr>
                <w:rFonts w:ascii="宋体" w:hAnsi="宋体" w:eastAsia="宋体" w:cs="宋体"/>
                <w:color w:val="auto"/>
                <w:sz w:val="24"/>
                <w:szCs w:val="24"/>
                <w:lang w:eastAsia="zh-CN"/>
              </w:rPr>
            </w:pPr>
          </w:p>
        </w:tc>
      </w:tr>
      <w:tr w14:paraId="63E2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09677232">
            <w:pPr>
              <w:ind w:right="240" w:rightChars="100"/>
              <w:jc w:val="both"/>
              <w:rPr>
                <w:rFonts w:ascii="宋体" w:hAnsi="宋体" w:eastAsia="宋体" w:cs="宋体"/>
                <w:color w:val="auto"/>
                <w:sz w:val="24"/>
                <w:szCs w:val="24"/>
                <w:lang w:eastAsia="zh-CN"/>
              </w:rPr>
            </w:pPr>
            <w:r>
              <w:rPr>
                <w:rFonts w:ascii="Times New Roman" w:hAnsi="Times New Roman" w:cs="Times New Roman"/>
                <w:color w:val="auto"/>
                <w:sz w:val="24"/>
                <w:szCs w:val="24"/>
                <w:lang w:eastAsia="zh-CN"/>
              </w:rPr>
              <w:t>合同总金额：</w:t>
            </w:r>
            <w:r>
              <w:rPr>
                <w:rFonts w:hint="eastAsia" w:ascii="Times New Roman" w:hAnsi="Times New Roman" w:cs="Times New Roman"/>
                <w:color w:val="auto"/>
                <w:sz w:val="24"/>
                <w:szCs w:val="24"/>
                <w:u w:val="single"/>
                <w:lang w:eastAsia="zh-CN"/>
              </w:rPr>
              <w:t>XXXX.00</w:t>
            </w:r>
            <w:r>
              <w:rPr>
                <w:rFonts w:ascii="Times New Roman" w:hAnsi="Times New Roman" w:cs="Times New Roman"/>
                <w:color w:val="auto"/>
                <w:sz w:val="24"/>
                <w:szCs w:val="24"/>
                <w:lang w:eastAsia="zh-CN"/>
              </w:rPr>
              <w:t>元（人民</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lang w:eastAsia="zh-CN"/>
              </w:rPr>
              <w:t>*****万元整）</w:t>
            </w:r>
          </w:p>
        </w:tc>
      </w:tr>
    </w:tbl>
    <w:p w14:paraId="403F0239">
      <w:pPr>
        <w:spacing w:line="360" w:lineRule="auto"/>
        <w:rPr>
          <w:rFonts w:ascii="宋体" w:hAnsi="宋体" w:eastAsia="宋体" w:cs="宋体"/>
          <w:color w:val="auto"/>
          <w:sz w:val="24"/>
          <w:szCs w:val="24"/>
          <w:lang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705"/>
        <w:gridCol w:w="690"/>
        <w:gridCol w:w="2055"/>
        <w:gridCol w:w="945"/>
        <w:gridCol w:w="1380"/>
        <w:gridCol w:w="1305"/>
        <w:gridCol w:w="747"/>
      </w:tblGrid>
      <w:tr w14:paraId="1DEC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695" w:type="dxa"/>
            <w:vAlign w:val="center"/>
          </w:tcPr>
          <w:p w14:paraId="3CEF8D4D">
            <w:pPr>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序号</w:t>
            </w:r>
          </w:p>
        </w:tc>
        <w:tc>
          <w:tcPr>
            <w:tcW w:w="705" w:type="dxa"/>
            <w:vAlign w:val="center"/>
          </w:tcPr>
          <w:p w14:paraId="391C1CE5">
            <w:pPr>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名称</w:t>
            </w:r>
          </w:p>
        </w:tc>
        <w:tc>
          <w:tcPr>
            <w:tcW w:w="690" w:type="dxa"/>
            <w:vAlign w:val="center"/>
          </w:tcPr>
          <w:p w14:paraId="073AB8B8">
            <w:pPr>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数量</w:t>
            </w:r>
          </w:p>
        </w:tc>
        <w:tc>
          <w:tcPr>
            <w:tcW w:w="2055" w:type="dxa"/>
            <w:vAlign w:val="center"/>
          </w:tcPr>
          <w:p w14:paraId="7EB10946">
            <w:pPr>
              <w:spacing w:line="360" w:lineRule="auto"/>
              <w:jc w:val="center"/>
              <w:rPr>
                <w:rFonts w:ascii="宋体" w:hAnsi="宋体" w:eastAsia="宋体" w:cs="宋体"/>
                <w:color w:val="auto"/>
                <w:lang w:eastAsia="zh-CN"/>
              </w:rPr>
            </w:pPr>
            <w:r>
              <w:rPr>
                <w:rFonts w:ascii="宋体" w:hAnsi="宋体" w:eastAsia="宋体" w:cs="宋体"/>
                <w:color w:val="auto"/>
                <w:lang w:eastAsia="zh-CN"/>
              </w:rPr>
              <w:t>单价净价（不含增值税，人民币元）</w:t>
            </w:r>
          </w:p>
        </w:tc>
        <w:tc>
          <w:tcPr>
            <w:tcW w:w="945" w:type="dxa"/>
            <w:vAlign w:val="center"/>
          </w:tcPr>
          <w:p w14:paraId="740C5385">
            <w:pPr>
              <w:spacing w:line="360" w:lineRule="auto"/>
              <w:jc w:val="center"/>
              <w:rPr>
                <w:rFonts w:ascii="宋体" w:hAnsi="宋体" w:eastAsia="宋体" w:cs="宋体"/>
                <w:color w:val="auto"/>
                <w:lang w:eastAsia="zh-CN"/>
              </w:rPr>
            </w:pPr>
            <w:r>
              <w:rPr>
                <w:rFonts w:hint="eastAsia" w:ascii="宋体" w:hAnsi="宋体" w:eastAsia="宋体" w:cs="宋体"/>
                <w:color w:val="auto"/>
                <w:lang w:eastAsia="zh-CN"/>
              </w:rPr>
              <w:t>增值税税率</w:t>
            </w:r>
          </w:p>
        </w:tc>
        <w:tc>
          <w:tcPr>
            <w:tcW w:w="1380" w:type="dxa"/>
            <w:vAlign w:val="center"/>
          </w:tcPr>
          <w:p w14:paraId="2979FB8C">
            <w:pPr>
              <w:spacing w:line="360" w:lineRule="auto"/>
              <w:jc w:val="center"/>
              <w:rPr>
                <w:rFonts w:ascii="宋体" w:hAnsi="宋体" w:eastAsia="宋体" w:cs="宋体"/>
                <w:color w:val="auto"/>
                <w:lang w:eastAsia="zh-CN"/>
              </w:rPr>
            </w:pPr>
            <w:r>
              <w:rPr>
                <w:rFonts w:ascii="宋体" w:hAnsi="宋体" w:eastAsia="宋体" w:cs="宋体"/>
                <w:color w:val="auto"/>
                <w:lang w:eastAsia="zh-CN"/>
              </w:rPr>
              <w:t>单价（含增值税，人民币元）</w:t>
            </w:r>
          </w:p>
        </w:tc>
        <w:tc>
          <w:tcPr>
            <w:tcW w:w="1305" w:type="dxa"/>
            <w:vAlign w:val="center"/>
          </w:tcPr>
          <w:p w14:paraId="6C013279">
            <w:pPr>
              <w:spacing w:line="360" w:lineRule="auto"/>
              <w:jc w:val="center"/>
              <w:rPr>
                <w:rFonts w:ascii="宋体" w:hAnsi="宋体" w:eastAsia="宋体" w:cs="宋体"/>
                <w:color w:val="auto"/>
                <w:lang w:eastAsia="zh-CN"/>
              </w:rPr>
            </w:pPr>
            <w:r>
              <w:rPr>
                <w:rFonts w:ascii="宋体" w:hAnsi="宋体" w:eastAsia="宋体" w:cs="宋体"/>
                <w:color w:val="auto"/>
                <w:lang w:eastAsia="zh-CN"/>
              </w:rPr>
              <w:t>总 价（含增值税，人民币元）</w:t>
            </w:r>
          </w:p>
        </w:tc>
        <w:tc>
          <w:tcPr>
            <w:tcW w:w="747" w:type="dxa"/>
            <w:vAlign w:val="center"/>
          </w:tcPr>
          <w:p w14:paraId="3D503029">
            <w:pPr>
              <w:spacing w:line="360" w:lineRule="auto"/>
              <w:jc w:val="center"/>
              <w:rPr>
                <w:rFonts w:ascii="宋体" w:hAnsi="宋体" w:eastAsia="宋体" w:cs="宋体"/>
                <w:color w:val="auto"/>
                <w:lang w:eastAsia="zh-CN"/>
              </w:rPr>
            </w:pPr>
            <w:r>
              <w:rPr>
                <w:rFonts w:ascii="宋体" w:hAnsi="宋体" w:eastAsia="宋体" w:cs="宋体"/>
                <w:color w:val="auto"/>
                <w:lang w:eastAsia="zh-CN"/>
              </w:rPr>
              <w:t>备注</w:t>
            </w:r>
          </w:p>
        </w:tc>
      </w:tr>
      <w:tr w14:paraId="0F59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695" w:type="dxa"/>
            <w:vAlign w:val="center"/>
          </w:tcPr>
          <w:p w14:paraId="642C1358">
            <w:pPr>
              <w:spacing w:line="360" w:lineRule="auto"/>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w:t>
            </w:r>
          </w:p>
        </w:tc>
        <w:tc>
          <w:tcPr>
            <w:tcW w:w="705" w:type="dxa"/>
            <w:vAlign w:val="center"/>
          </w:tcPr>
          <w:p w14:paraId="26231082">
            <w:pPr>
              <w:spacing w:line="360" w:lineRule="auto"/>
              <w:jc w:val="center"/>
              <w:rPr>
                <w:rFonts w:ascii="宋体" w:hAnsi="宋体" w:eastAsia="宋体" w:cs="宋体"/>
                <w:color w:val="auto"/>
                <w:sz w:val="24"/>
                <w:szCs w:val="24"/>
                <w:lang w:eastAsia="zh-CN"/>
              </w:rPr>
            </w:pPr>
          </w:p>
        </w:tc>
        <w:tc>
          <w:tcPr>
            <w:tcW w:w="690" w:type="dxa"/>
            <w:vAlign w:val="center"/>
          </w:tcPr>
          <w:p w14:paraId="778E6B21">
            <w:pPr>
              <w:spacing w:line="360" w:lineRule="auto"/>
              <w:jc w:val="center"/>
              <w:rPr>
                <w:rFonts w:ascii="宋体" w:hAnsi="宋体" w:eastAsia="宋体" w:cs="宋体"/>
                <w:color w:val="auto"/>
                <w:sz w:val="24"/>
                <w:szCs w:val="24"/>
                <w:lang w:eastAsia="zh-CN"/>
              </w:rPr>
            </w:pPr>
          </w:p>
        </w:tc>
        <w:tc>
          <w:tcPr>
            <w:tcW w:w="2055" w:type="dxa"/>
            <w:vAlign w:val="center"/>
          </w:tcPr>
          <w:p w14:paraId="371FD2CA">
            <w:pPr>
              <w:spacing w:line="360" w:lineRule="auto"/>
              <w:jc w:val="center"/>
              <w:rPr>
                <w:rFonts w:ascii="宋体" w:hAnsi="宋体" w:eastAsia="宋体" w:cs="宋体"/>
                <w:color w:val="auto"/>
                <w:sz w:val="24"/>
                <w:szCs w:val="24"/>
                <w:lang w:eastAsia="zh-CN"/>
              </w:rPr>
            </w:pPr>
          </w:p>
        </w:tc>
        <w:tc>
          <w:tcPr>
            <w:tcW w:w="945" w:type="dxa"/>
            <w:vAlign w:val="center"/>
          </w:tcPr>
          <w:p w14:paraId="0F50C5EB">
            <w:pPr>
              <w:spacing w:line="360" w:lineRule="auto"/>
              <w:jc w:val="center"/>
              <w:rPr>
                <w:rFonts w:ascii="宋体" w:hAnsi="宋体" w:eastAsia="宋体" w:cs="宋体"/>
                <w:color w:val="auto"/>
                <w:sz w:val="24"/>
                <w:szCs w:val="24"/>
                <w:lang w:eastAsia="zh-CN"/>
              </w:rPr>
            </w:pPr>
          </w:p>
        </w:tc>
        <w:tc>
          <w:tcPr>
            <w:tcW w:w="1380" w:type="dxa"/>
            <w:vAlign w:val="center"/>
          </w:tcPr>
          <w:p w14:paraId="49E1A25A">
            <w:pPr>
              <w:spacing w:line="360" w:lineRule="auto"/>
              <w:jc w:val="center"/>
              <w:rPr>
                <w:rFonts w:ascii="宋体" w:hAnsi="宋体" w:eastAsia="宋体" w:cs="宋体"/>
                <w:color w:val="auto"/>
                <w:sz w:val="24"/>
                <w:szCs w:val="24"/>
                <w:lang w:eastAsia="zh-CN"/>
              </w:rPr>
            </w:pPr>
          </w:p>
        </w:tc>
        <w:tc>
          <w:tcPr>
            <w:tcW w:w="1305" w:type="dxa"/>
            <w:vAlign w:val="center"/>
          </w:tcPr>
          <w:p w14:paraId="1F9A333D">
            <w:pPr>
              <w:spacing w:line="360" w:lineRule="auto"/>
              <w:jc w:val="center"/>
              <w:rPr>
                <w:rFonts w:ascii="宋体" w:hAnsi="宋体" w:eastAsia="宋体" w:cs="宋体"/>
                <w:color w:val="auto"/>
                <w:sz w:val="24"/>
                <w:szCs w:val="24"/>
                <w:lang w:eastAsia="zh-CN"/>
              </w:rPr>
            </w:pPr>
          </w:p>
        </w:tc>
        <w:tc>
          <w:tcPr>
            <w:tcW w:w="747" w:type="dxa"/>
            <w:vAlign w:val="center"/>
          </w:tcPr>
          <w:p w14:paraId="7812111A">
            <w:pPr>
              <w:spacing w:line="360" w:lineRule="auto"/>
              <w:jc w:val="center"/>
              <w:rPr>
                <w:rFonts w:ascii="宋体" w:hAnsi="宋体" w:eastAsia="宋体" w:cs="宋体"/>
                <w:color w:val="auto"/>
                <w:sz w:val="24"/>
                <w:szCs w:val="24"/>
                <w:lang w:eastAsia="zh-CN"/>
              </w:rPr>
            </w:pPr>
          </w:p>
        </w:tc>
      </w:tr>
      <w:tr w14:paraId="7A3D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8522" w:type="dxa"/>
            <w:gridSpan w:val="8"/>
            <w:vAlign w:val="center"/>
          </w:tcPr>
          <w:p w14:paraId="1961B06B">
            <w:pPr>
              <w:spacing w:line="360" w:lineRule="auto"/>
              <w:jc w:val="center"/>
              <w:rPr>
                <w:rFonts w:ascii="宋体" w:hAnsi="宋体" w:eastAsia="宋体" w:cs="宋体"/>
                <w:color w:val="auto"/>
                <w:sz w:val="24"/>
                <w:szCs w:val="24"/>
                <w:lang w:eastAsia="zh-CN"/>
              </w:rPr>
            </w:pPr>
            <w:r>
              <w:rPr>
                <w:rFonts w:ascii="宋体" w:hAnsi="宋体" w:eastAsia="宋体" w:cs="宋体"/>
                <w:color w:val="auto"/>
                <w:sz w:val="24"/>
                <w:szCs w:val="24"/>
                <w:lang w:eastAsia="zh-CN"/>
              </w:rPr>
              <w:t>总计：（人民币元）XXXX.00元，大写人民币：XXXX元整，包含X%增值税</w:t>
            </w:r>
          </w:p>
        </w:tc>
      </w:tr>
    </w:tbl>
    <w:p w14:paraId="6C4ABCAB">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2.2乙方帐号信息：</w:t>
      </w:r>
    </w:p>
    <w:p w14:paraId="76EDA7EB">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开户名称：</w:t>
      </w:r>
    </w:p>
    <w:p w14:paraId="79BD9FBF">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 xml:space="preserve">开户行： </w:t>
      </w:r>
    </w:p>
    <w:p w14:paraId="6079CF40">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账号：</w:t>
      </w:r>
    </w:p>
    <w:p w14:paraId="24D20489">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税号：</w:t>
      </w:r>
    </w:p>
    <w:p w14:paraId="13F2B59E">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第三条 付款时间及方式</w:t>
      </w:r>
    </w:p>
    <w:p w14:paraId="4B58F64B">
      <w:pPr>
        <w:adjustRightInd w:val="0"/>
        <w:snapToGrid w:val="0"/>
        <w:spacing w:line="360" w:lineRule="auto"/>
        <w:ind w:firstLine="480" w:firstLineChars="200"/>
        <w:rPr>
          <w:rFonts w:hint="eastAsia" w:ascii="宋体" w:hAnsi="宋体" w:cs="宋体"/>
          <w:bCs/>
          <w:color w:val="auto"/>
          <w:szCs w:val="24"/>
        </w:rPr>
      </w:pPr>
      <w:r>
        <w:rPr>
          <w:rFonts w:hint="eastAsia" w:ascii="宋体" w:hAnsi="宋体" w:cs="宋体"/>
          <w:bCs/>
          <w:color w:val="auto"/>
          <w:szCs w:val="24"/>
          <w:lang w:val="en-US" w:eastAsia="zh-CN"/>
        </w:rPr>
        <w:t>3.1</w:t>
      </w:r>
      <w:r>
        <w:rPr>
          <w:rFonts w:hint="eastAsia" w:ascii="宋体" w:hAnsi="宋体" w:cs="宋体"/>
          <w:bCs/>
          <w:color w:val="auto"/>
          <w:szCs w:val="24"/>
        </w:rPr>
        <w:t>合同签订后，支付合同总价的20%预付款；</w:t>
      </w:r>
    </w:p>
    <w:p w14:paraId="5D69EF52">
      <w:pPr>
        <w:adjustRightInd w:val="0"/>
        <w:snapToGrid w:val="0"/>
        <w:spacing w:line="360" w:lineRule="auto"/>
        <w:ind w:firstLine="480" w:firstLineChars="200"/>
        <w:rPr>
          <w:rFonts w:hint="eastAsia" w:ascii="宋体" w:hAnsi="宋体" w:cs="宋体"/>
          <w:bCs/>
          <w:color w:val="auto"/>
          <w:szCs w:val="24"/>
        </w:rPr>
      </w:pPr>
      <w:r>
        <w:rPr>
          <w:rFonts w:hint="eastAsia" w:ascii="宋体" w:hAnsi="宋体" w:cs="宋体"/>
          <w:bCs/>
          <w:color w:val="auto"/>
          <w:szCs w:val="24"/>
          <w:lang w:val="en-US" w:eastAsia="zh-CN"/>
        </w:rPr>
        <w:t>3.2</w:t>
      </w:r>
      <w:r>
        <w:rPr>
          <w:rFonts w:hint="eastAsia" w:ascii="宋体" w:hAnsi="宋体" w:cs="宋体"/>
          <w:bCs/>
          <w:color w:val="auto"/>
          <w:szCs w:val="24"/>
        </w:rPr>
        <w:t>项目完成，且通过项目验收后，支付合同总价的70%；</w:t>
      </w:r>
    </w:p>
    <w:p w14:paraId="26954EA3">
      <w:pPr>
        <w:adjustRightInd w:val="0"/>
        <w:snapToGrid w:val="0"/>
        <w:spacing w:line="360" w:lineRule="auto"/>
        <w:ind w:firstLine="480" w:firstLineChars="200"/>
        <w:rPr>
          <w:rFonts w:ascii="宋体" w:hAnsi="宋体" w:cs="宋体"/>
          <w:bCs/>
          <w:color w:val="auto"/>
          <w:szCs w:val="24"/>
        </w:rPr>
      </w:pPr>
      <w:r>
        <w:rPr>
          <w:rFonts w:hint="eastAsia" w:ascii="宋体" w:hAnsi="宋体" w:cs="宋体"/>
          <w:bCs/>
          <w:color w:val="auto"/>
          <w:szCs w:val="24"/>
          <w:lang w:val="en-US" w:eastAsia="zh-CN"/>
        </w:rPr>
        <w:t>3.3</w:t>
      </w:r>
      <w:r>
        <w:rPr>
          <w:rFonts w:hint="eastAsia" w:ascii="宋体" w:hAnsi="宋体" w:cs="宋体"/>
          <w:bCs/>
          <w:color w:val="auto"/>
          <w:szCs w:val="24"/>
        </w:rPr>
        <w:t>剩余10%</w:t>
      </w:r>
      <w:r>
        <w:rPr>
          <w:rFonts w:hint="eastAsia" w:ascii="宋体" w:hAnsi="宋体" w:cs="宋体"/>
          <w:bCs/>
          <w:color w:val="auto"/>
          <w:szCs w:val="24"/>
          <w:lang w:val="en-US" w:eastAsia="zh-CN"/>
        </w:rPr>
        <w:t>维保服务期结束后付清</w:t>
      </w:r>
      <w:r>
        <w:rPr>
          <w:rFonts w:hint="eastAsia" w:ascii="宋体" w:hAnsi="宋体" w:cs="宋体"/>
          <w:bCs/>
          <w:color w:val="auto"/>
          <w:szCs w:val="24"/>
        </w:rPr>
        <w:t>；</w:t>
      </w:r>
    </w:p>
    <w:p w14:paraId="46381D18">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开票信息如下：</w:t>
      </w:r>
    </w:p>
    <w:p w14:paraId="31060720">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单位名称：</w:t>
      </w:r>
    </w:p>
    <w:p w14:paraId="3A697E50">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纳税人识别号：</w:t>
      </w:r>
    </w:p>
    <w:p w14:paraId="526E5FA1">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 xml:space="preserve">单位地址： </w:t>
      </w:r>
    </w:p>
    <w:p w14:paraId="78B70516">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电话：</w:t>
      </w:r>
    </w:p>
    <w:p w14:paraId="46CCDE56">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开户银行：</w:t>
      </w:r>
    </w:p>
    <w:p w14:paraId="5479568B">
      <w:pPr>
        <w:spacing w:line="360" w:lineRule="auto"/>
        <w:ind w:firstLine="720" w:firstLineChars="300"/>
        <w:rPr>
          <w:rFonts w:ascii="宋体" w:hAnsi="宋体" w:eastAsia="宋体" w:cs="宋体"/>
          <w:color w:val="auto"/>
          <w:sz w:val="24"/>
          <w:szCs w:val="24"/>
          <w:lang w:eastAsia="zh-CN"/>
        </w:rPr>
      </w:pPr>
      <w:r>
        <w:rPr>
          <w:rFonts w:ascii="宋体" w:hAnsi="宋体" w:eastAsia="宋体" w:cs="宋体"/>
          <w:color w:val="auto"/>
          <w:sz w:val="24"/>
          <w:szCs w:val="24"/>
          <w:lang w:eastAsia="zh-CN"/>
        </w:rPr>
        <w:t>账号：</w:t>
      </w:r>
    </w:p>
    <w:p w14:paraId="1D5389FA">
      <w:pPr>
        <w:spacing w:line="360" w:lineRule="auto"/>
        <w:rPr>
          <w:rFonts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 xml:space="preserve">第四条 </w:t>
      </w:r>
      <w:r>
        <w:rPr>
          <w:rFonts w:ascii="宋体" w:hAnsi="宋体" w:eastAsia="宋体" w:cs="宋体"/>
          <w:b/>
          <w:bCs/>
          <w:color w:val="auto"/>
          <w:sz w:val="24"/>
          <w:szCs w:val="24"/>
          <w:lang w:eastAsia="zh-CN"/>
        </w:rPr>
        <w:t>交付地点、时间和合同期限</w:t>
      </w:r>
    </w:p>
    <w:p w14:paraId="547977D2">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4.1 交付地点：</w:t>
      </w:r>
      <w:r>
        <w:rPr>
          <w:rFonts w:hint="eastAsia" w:ascii="宋体" w:hAnsi="宋体" w:cs="宋体"/>
          <w:color w:val="auto"/>
          <w:sz w:val="24"/>
          <w:szCs w:val="24"/>
          <w:lang w:eastAsia="zh-CN"/>
        </w:rPr>
        <w:t>富平县医院</w:t>
      </w:r>
      <w:r>
        <w:rPr>
          <w:rFonts w:ascii="宋体" w:hAnsi="宋体" w:eastAsia="宋体" w:cs="宋体"/>
          <w:color w:val="auto"/>
          <w:sz w:val="24"/>
          <w:szCs w:val="24"/>
          <w:lang w:eastAsia="zh-CN"/>
        </w:rPr>
        <w:t>。乙方按照甲方要求时间安装调试到甲方指定地点。否则不予接收，合同终止，由此导致的一切后果及损失由乙方独立承担。</w:t>
      </w:r>
    </w:p>
    <w:p w14:paraId="0A7B513F">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4.2 交付时间：合同正式签署后</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lang w:eastAsia="zh-CN"/>
        </w:rPr>
        <w:t>内完成。</w:t>
      </w:r>
    </w:p>
    <w:p w14:paraId="565D459F">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4.3产品交货时应当同时附有软件需求说明书、数据库设计说明书、系统平台详细设计文档、系统安全性测试报告、恶意代码监测报告、项目实施计划书等相关文件或技术资料。</w:t>
      </w:r>
    </w:p>
    <w:p w14:paraId="18786CEF">
      <w:pPr>
        <w:spacing w:line="360" w:lineRule="auto"/>
        <w:rPr>
          <w:rFonts w:ascii="宋体" w:hAnsi="宋体" w:eastAsia="宋体" w:cs="宋体"/>
          <w:color w:val="auto"/>
          <w:sz w:val="24"/>
          <w:szCs w:val="24"/>
          <w:lang w:eastAsia="zh-CN"/>
        </w:rPr>
      </w:pPr>
      <w:r>
        <w:rPr>
          <w:rFonts w:ascii="宋体" w:hAnsi="宋体" w:eastAsia="宋体" w:cs="宋体"/>
          <w:b/>
          <w:bCs/>
          <w:color w:val="auto"/>
          <w:sz w:val="24"/>
          <w:szCs w:val="24"/>
          <w:lang w:eastAsia="zh-CN"/>
        </w:rPr>
        <w:t>第五条 项目实施要求</w:t>
      </w:r>
      <w:r>
        <w:rPr>
          <w:rFonts w:ascii="宋体" w:hAnsi="宋体" w:eastAsia="宋体" w:cs="宋体"/>
          <w:color w:val="auto"/>
          <w:sz w:val="24"/>
          <w:szCs w:val="24"/>
          <w:lang w:eastAsia="zh-CN"/>
        </w:rPr>
        <w:t>（此部分按照项目时间要求填写，以下内容为其他项目的具体内容，可供参考）</w:t>
      </w:r>
    </w:p>
    <w:p w14:paraId="2D3C9EAF">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5.1 系统满足</w:t>
      </w:r>
      <w:r>
        <w:rPr>
          <w:rFonts w:hint="eastAsia" w:ascii="宋体" w:hAnsi="宋体" w:cs="宋体"/>
          <w:color w:val="auto"/>
          <w:sz w:val="24"/>
          <w:szCs w:val="24"/>
          <w:lang w:eastAsia="zh-CN"/>
        </w:rPr>
        <w:t>甲方</w:t>
      </w:r>
      <w:r>
        <w:rPr>
          <w:rFonts w:ascii="宋体" w:hAnsi="宋体" w:eastAsia="宋体" w:cs="宋体"/>
          <w:color w:val="auto"/>
          <w:sz w:val="24"/>
          <w:szCs w:val="24"/>
          <w:lang w:eastAsia="zh-CN"/>
        </w:rPr>
        <w:t>使用需要。</w:t>
      </w:r>
    </w:p>
    <w:p w14:paraId="26DFE9F2">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5.</w:t>
      </w:r>
      <w:r>
        <w:rPr>
          <w:rFonts w:hint="eastAsia" w:ascii="宋体" w:hAnsi="宋体" w:cs="宋体"/>
          <w:color w:val="auto"/>
          <w:sz w:val="24"/>
          <w:szCs w:val="24"/>
          <w:lang w:val="en-US" w:eastAsia="zh-CN"/>
        </w:rPr>
        <w:t>2</w:t>
      </w:r>
      <w:r>
        <w:rPr>
          <w:rFonts w:ascii="宋体" w:hAnsi="宋体" w:eastAsia="宋体" w:cs="宋体"/>
          <w:color w:val="auto"/>
          <w:sz w:val="24"/>
          <w:szCs w:val="24"/>
          <w:lang w:eastAsia="zh-CN"/>
        </w:rPr>
        <w:t xml:space="preserve"> 项目建设期及维保期间，根据医院需求优化系统，满足使用要求。</w:t>
      </w:r>
    </w:p>
    <w:p w14:paraId="613273AC">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第六条 验收及异议处理</w:t>
      </w:r>
    </w:p>
    <w:p w14:paraId="3139099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6.1</w:t>
      </w:r>
      <w:r>
        <w:rPr>
          <w:rFonts w:hint="eastAsia" w:ascii="宋体" w:hAnsi="宋体" w:eastAsia="宋体" w:cs="宋体"/>
          <w:color w:val="auto"/>
          <w:sz w:val="24"/>
          <w:szCs w:val="24"/>
          <w:lang w:eastAsia="zh-CN"/>
        </w:rPr>
        <w:t>本项目系统上线试运行结束且系统满足招标参数要求后，按照国家及行业相关标准由</w:t>
      </w:r>
      <w:r>
        <w:rPr>
          <w:rFonts w:hint="eastAsia" w:ascii="宋体" w:hAnsi="宋体" w:cs="宋体"/>
          <w:color w:val="auto"/>
          <w:sz w:val="24"/>
          <w:szCs w:val="24"/>
          <w:lang w:eastAsia="zh-CN"/>
        </w:rPr>
        <w:t>甲方</w:t>
      </w:r>
      <w:r>
        <w:rPr>
          <w:rFonts w:hint="eastAsia" w:ascii="宋体" w:hAnsi="宋体" w:eastAsia="宋体" w:cs="宋体"/>
          <w:color w:val="auto"/>
          <w:sz w:val="24"/>
          <w:szCs w:val="24"/>
          <w:lang w:eastAsia="zh-CN"/>
        </w:rPr>
        <w:t>组织验收，验收规范(包括项目、指标、方式和测试方案等)应由</w:t>
      </w:r>
      <w:r>
        <w:rPr>
          <w:rFonts w:hint="eastAsia" w:ascii="宋体" w:hAnsi="宋体" w:cs="宋体"/>
          <w:color w:val="auto"/>
          <w:sz w:val="24"/>
          <w:szCs w:val="24"/>
          <w:lang w:eastAsia="zh-CN"/>
        </w:rPr>
        <w:t>乙方</w:t>
      </w:r>
      <w:r>
        <w:rPr>
          <w:rFonts w:hint="eastAsia" w:ascii="宋体" w:hAnsi="宋体" w:eastAsia="宋体" w:cs="宋体"/>
          <w:color w:val="auto"/>
          <w:sz w:val="24"/>
          <w:szCs w:val="24"/>
          <w:lang w:eastAsia="zh-CN"/>
        </w:rPr>
        <w:t>在约定验收时间前两周提交给</w:t>
      </w:r>
      <w:r>
        <w:rPr>
          <w:rFonts w:hint="eastAsia" w:ascii="宋体" w:hAnsi="宋体" w:cs="宋体"/>
          <w:color w:val="auto"/>
          <w:sz w:val="24"/>
          <w:szCs w:val="24"/>
          <w:lang w:eastAsia="zh-CN"/>
        </w:rPr>
        <w:t>甲方</w:t>
      </w:r>
      <w:r>
        <w:rPr>
          <w:rFonts w:hint="eastAsia" w:ascii="宋体" w:hAnsi="宋体" w:eastAsia="宋体" w:cs="宋体"/>
          <w:color w:val="auto"/>
          <w:sz w:val="24"/>
          <w:szCs w:val="24"/>
          <w:lang w:eastAsia="zh-CN"/>
        </w:rPr>
        <w:t>。</w:t>
      </w:r>
      <w:r>
        <w:rPr>
          <w:rFonts w:hint="eastAsia" w:ascii="宋体" w:hAnsi="宋体" w:cs="宋体"/>
          <w:color w:val="auto"/>
          <w:sz w:val="24"/>
          <w:szCs w:val="24"/>
          <w:lang w:eastAsia="zh-CN"/>
        </w:rPr>
        <w:t>甲方</w:t>
      </w:r>
      <w:r>
        <w:rPr>
          <w:rFonts w:hint="eastAsia" w:ascii="宋体" w:hAnsi="宋体" w:eastAsia="宋体" w:cs="宋体"/>
          <w:color w:val="auto"/>
          <w:sz w:val="24"/>
          <w:szCs w:val="24"/>
          <w:lang w:eastAsia="zh-CN"/>
        </w:rPr>
        <w:t>可根据合同及技术规范和有关规定进行修改和补充，经双方确认后形成验收文件作为验收依据。验收合格后，系统进入正式运行状态，即进入保修期。</w:t>
      </w:r>
    </w:p>
    <w:p w14:paraId="6D86317E">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项目验收合格条件如下：</w:t>
      </w:r>
    </w:p>
    <w:p w14:paraId="7265B9A5">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1）技术参数与采购合同一致，性能指标达到规定的标准。</w:t>
      </w:r>
    </w:p>
    <w:p w14:paraId="4A16EFCA">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2）技术资料齐全并与投标时所提供的技术资料一致。</w:t>
      </w:r>
    </w:p>
    <w:p w14:paraId="5EDA0786">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3）软件产品在安装调试并试运行符合要求。</w:t>
      </w:r>
    </w:p>
    <w:p w14:paraId="426AC8C8">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4）在系统调试期间所出现的问题得到解决，并运行正常。</w:t>
      </w:r>
    </w:p>
    <w:p w14:paraId="0B0868C9">
      <w:pPr>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5）在规定时间内完成交付，并经</w:t>
      </w:r>
      <w:r>
        <w:rPr>
          <w:rFonts w:hint="eastAsia" w:ascii="宋体" w:hAnsi="宋体" w:cs="宋体"/>
          <w:color w:val="auto"/>
          <w:sz w:val="24"/>
          <w:szCs w:val="24"/>
          <w:lang w:eastAsia="zh-CN"/>
        </w:rPr>
        <w:t>甲方</w:t>
      </w:r>
      <w:r>
        <w:rPr>
          <w:rFonts w:hint="eastAsia" w:ascii="宋体" w:hAnsi="宋体" w:eastAsia="宋体" w:cs="宋体"/>
          <w:color w:val="auto"/>
          <w:sz w:val="24"/>
          <w:szCs w:val="24"/>
          <w:lang w:eastAsia="zh-CN"/>
        </w:rPr>
        <w:t>确认。</w:t>
      </w:r>
    </w:p>
    <w:p w14:paraId="767F4EBF">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2</w:t>
      </w:r>
      <w:r>
        <w:rPr>
          <w:rFonts w:ascii="宋体" w:hAnsi="宋体" w:eastAsia="宋体" w:cs="宋体"/>
          <w:color w:val="auto"/>
          <w:sz w:val="24"/>
          <w:szCs w:val="24"/>
          <w:lang w:eastAsia="zh-CN"/>
        </w:rPr>
        <w:t xml:space="preserve"> 验收标准： </w:t>
      </w:r>
    </w:p>
    <w:p w14:paraId="1F83F5FE">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2</w:t>
      </w:r>
      <w:r>
        <w:rPr>
          <w:rFonts w:ascii="宋体" w:hAnsi="宋体" w:eastAsia="宋体" w:cs="宋体"/>
          <w:color w:val="auto"/>
          <w:sz w:val="24"/>
          <w:szCs w:val="24"/>
          <w:lang w:eastAsia="zh-CN"/>
        </w:rPr>
        <w:t>.1 达到投标标书中确定的内容及相关技术指标</w:t>
      </w:r>
      <w:r>
        <w:rPr>
          <w:rFonts w:hint="eastAsia" w:ascii="宋体" w:hAnsi="宋体" w:eastAsia="宋体" w:cs="宋体"/>
          <w:color w:val="auto"/>
          <w:sz w:val="24"/>
          <w:szCs w:val="24"/>
          <w:lang w:eastAsia="zh-CN"/>
        </w:rPr>
        <w:t>；</w:t>
      </w:r>
    </w:p>
    <w:p w14:paraId="0A2AC8BD">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2</w:t>
      </w:r>
      <w:r>
        <w:rPr>
          <w:rFonts w:ascii="宋体" w:hAnsi="宋体" w:eastAsia="宋体" w:cs="宋体"/>
          <w:color w:val="auto"/>
          <w:sz w:val="24"/>
          <w:szCs w:val="24"/>
          <w:lang w:eastAsia="zh-CN"/>
        </w:rPr>
        <w:t>.2乙方提供并经甲方认可的使用或功能说明书</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用户手册等资料</w:t>
      </w:r>
      <w:r>
        <w:rPr>
          <w:rFonts w:hint="eastAsia" w:ascii="宋体" w:hAnsi="宋体" w:eastAsia="宋体" w:cs="宋体"/>
          <w:color w:val="auto"/>
          <w:sz w:val="24"/>
          <w:szCs w:val="24"/>
          <w:lang w:eastAsia="zh-CN"/>
        </w:rPr>
        <w:t>；</w:t>
      </w:r>
    </w:p>
    <w:p w14:paraId="0D09E7C4">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2</w:t>
      </w:r>
      <w:r>
        <w:rPr>
          <w:rFonts w:ascii="宋体" w:hAnsi="宋体" w:eastAsia="宋体" w:cs="宋体"/>
          <w:color w:val="auto"/>
          <w:sz w:val="24"/>
          <w:szCs w:val="24"/>
          <w:lang w:eastAsia="zh-CN"/>
        </w:rPr>
        <w:t>.3按照国家标准、行业规程或其他相关标准进行产品验收</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没有国家标准的，按照产品出厂标准进行验收。</w:t>
      </w:r>
    </w:p>
    <w:p w14:paraId="5D7D769A">
      <w:pPr>
        <w:spacing w:line="360" w:lineRule="auto"/>
        <w:ind w:firstLine="480" w:firstLineChars="200"/>
        <w:rPr>
          <w:rFonts w:hint="eastAsia" w:ascii="宋体" w:hAnsi="宋体" w:cs="宋体"/>
          <w:color w:val="auto"/>
          <w:sz w:val="24"/>
          <w:szCs w:val="24"/>
          <w:lang w:val="en-US"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3</w:t>
      </w:r>
      <w:r>
        <w:rPr>
          <w:rFonts w:ascii="宋体" w:hAnsi="宋体" w:eastAsia="宋体" w:cs="宋体"/>
          <w:color w:val="auto"/>
          <w:sz w:val="24"/>
          <w:szCs w:val="24"/>
          <w:lang w:eastAsia="zh-CN"/>
        </w:rPr>
        <w:t xml:space="preserve"> 在乙方完成安装调试合格且稳定运行30个工作日后，由乙方提出验收申请，甲方组织相关专家开始对项目进行验收，验收报告经签字盖章视为项目最终验收合格。</w:t>
      </w:r>
      <w:r>
        <w:rPr>
          <w:rFonts w:hint="eastAsia" w:ascii="宋体" w:hAnsi="宋体" w:cs="宋体"/>
          <w:color w:val="auto"/>
          <w:sz w:val="24"/>
          <w:szCs w:val="24"/>
          <w:lang w:val="en-US" w:eastAsia="zh-CN"/>
        </w:rPr>
        <w:t xml:space="preserve">    </w:t>
      </w:r>
    </w:p>
    <w:p w14:paraId="2C45034D">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4</w:t>
      </w:r>
      <w:r>
        <w:rPr>
          <w:rFonts w:ascii="宋体" w:hAnsi="宋体" w:eastAsia="宋体" w:cs="宋体"/>
          <w:color w:val="auto"/>
          <w:sz w:val="24"/>
          <w:szCs w:val="24"/>
          <w:lang w:eastAsia="zh-CN"/>
        </w:rPr>
        <w:t>甲方对交付成果提出异议的，乙方应在接到异议之日起5个工作日内，选择以下一种或多种方式解决异议，相应的异议处理方式应经甲方认可：</w:t>
      </w:r>
    </w:p>
    <w:p w14:paraId="27E2751C">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4</w:t>
      </w:r>
      <w:r>
        <w:rPr>
          <w:rFonts w:ascii="宋体" w:hAnsi="宋体" w:eastAsia="宋体" w:cs="宋体"/>
          <w:color w:val="auto"/>
          <w:sz w:val="24"/>
          <w:szCs w:val="24"/>
          <w:lang w:eastAsia="zh-CN"/>
        </w:rPr>
        <w:t>.1 上门修复、调试；</w:t>
      </w:r>
    </w:p>
    <w:p w14:paraId="3244F8BD">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6.</w:t>
      </w:r>
      <w:r>
        <w:rPr>
          <w:rFonts w:hint="eastAsia" w:ascii="宋体" w:hAnsi="宋体" w:cs="宋体"/>
          <w:color w:val="auto"/>
          <w:sz w:val="24"/>
          <w:szCs w:val="24"/>
          <w:lang w:val="en-US" w:eastAsia="zh-CN"/>
        </w:rPr>
        <w:t>4</w:t>
      </w:r>
      <w:r>
        <w:rPr>
          <w:rFonts w:ascii="宋体" w:hAnsi="宋体" w:eastAsia="宋体" w:cs="宋体"/>
          <w:color w:val="auto"/>
          <w:sz w:val="24"/>
          <w:szCs w:val="24"/>
          <w:lang w:eastAsia="zh-CN"/>
        </w:rPr>
        <w:t>.2 指定时间内免费更新到品质</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性能更加优良的产品</w:t>
      </w:r>
      <w:r>
        <w:rPr>
          <w:rFonts w:hint="eastAsia" w:ascii="宋体" w:hAnsi="宋体" w:eastAsia="宋体" w:cs="宋体"/>
          <w:color w:val="auto"/>
          <w:sz w:val="24"/>
          <w:szCs w:val="24"/>
          <w:lang w:eastAsia="zh-CN"/>
        </w:rPr>
        <w:t>。</w:t>
      </w:r>
    </w:p>
    <w:p w14:paraId="3646810F">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第七条 系统维护</w:t>
      </w:r>
    </w:p>
    <w:p w14:paraId="06D256DC">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7.1 乙方承诺</w:t>
      </w:r>
      <w:r>
        <w:rPr>
          <w:rFonts w:hint="eastAsia" w:ascii="宋体" w:hAnsi="宋体" w:eastAsia="宋体" w:cs="宋体"/>
          <w:color w:val="auto"/>
          <w:sz w:val="24"/>
          <w:szCs w:val="24"/>
          <w:lang w:eastAsia="zh-CN"/>
        </w:rPr>
        <w:t>在系统上线项目验收完成后，提供自验收之日起一年免费维保服务。</w:t>
      </w:r>
    </w:p>
    <w:p w14:paraId="3A8CFF5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7.2 免费质保期满后，甲方如需乙方提供技术支持，则另行协商。</w:t>
      </w:r>
    </w:p>
    <w:p w14:paraId="218C9304">
      <w:pPr>
        <w:spacing w:line="360" w:lineRule="auto"/>
        <w:ind w:firstLine="480" w:firstLineChars="200"/>
        <w:rPr>
          <w:rFonts w:hint="eastAsia" w:ascii="宋体" w:hAnsi="宋体" w:eastAsia="宋体" w:cs="宋体"/>
          <w:color w:val="auto"/>
          <w:sz w:val="24"/>
          <w:szCs w:val="24"/>
          <w:lang w:eastAsia="zh-CN"/>
        </w:rPr>
      </w:pPr>
      <w:r>
        <w:rPr>
          <w:rFonts w:ascii="宋体" w:hAnsi="宋体" w:eastAsia="宋体" w:cs="宋体"/>
          <w:color w:val="auto"/>
          <w:sz w:val="24"/>
          <w:szCs w:val="24"/>
          <w:lang w:eastAsia="zh-CN"/>
        </w:rPr>
        <w:t>7.3</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eastAsia="zh-CN"/>
        </w:rPr>
        <w:t>原厂技术支持与售后服务要求</w:t>
      </w:r>
    </w:p>
    <w:p w14:paraId="6B23C22E">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7.3.1</w:t>
      </w:r>
      <w:r>
        <w:rPr>
          <w:rFonts w:hint="eastAsia" w:ascii="宋体" w:hAnsi="宋体" w:eastAsia="宋体" w:cs="宋体"/>
          <w:color w:val="auto"/>
          <w:sz w:val="24"/>
          <w:szCs w:val="24"/>
          <w:lang w:eastAsia="zh-CN"/>
        </w:rPr>
        <w:t xml:space="preserve"> 提供 7（天）×24（小时）有固定人员/团队的电话、远程支持服务。在接到故障通报后，立即响应。严重故障需要1小时内赶到故障现场，24小时排除故障。</w:t>
      </w:r>
    </w:p>
    <w:p w14:paraId="3AB456C0">
      <w:pPr>
        <w:spacing w:line="360" w:lineRule="auto"/>
        <w:ind w:left="480" w:leftChars="200" w:firstLine="0" w:firstLineChars="0"/>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7.3.2</w:t>
      </w:r>
      <w:r>
        <w:rPr>
          <w:rFonts w:hint="eastAsia" w:ascii="宋体" w:hAnsi="宋体" w:eastAsia="宋体" w:cs="宋体"/>
          <w:color w:val="auto"/>
          <w:sz w:val="24"/>
          <w:szCs w:val="24"/>
          <w:lang w:eastAsia="zh-CN"/>
        </w:rPr>
        <w:t xml:space="preserve"> 问题解决或单次维护完毕后，在2 个工作日内提交问题处理报告供留存。</w:t>
      </w:r>
    </w:p>
    <w:p w14:paraId="50874FC8">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7.4、BUG修复及系统升级服务</w:t>
      </w:r>
    </w:p>
    <w:p w14:paraId="2A93942C">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质保期内，产品如存在功能性、安全性漏洞，需免费提供升级服务。在升级前，由甲方制定升级内容，乙方提供详细的系统升级方案。双方协商实施计划，制定详细的实施方案，包括测试方案、测试计划、回退方案、升级时间、升级步骤、参与人员等，在不影响现有业务功能、数据的前提下，保证升级成功。</w:t>
      </w:r>
    </w:p>
    <w:p w14:paraId="7F677574">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7.5、培训要求</w:t>
      </w:r>
    </w:p>
    <w:p w14:paraId="2992E6B5">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乙方应针对应用软件为甲方提供完整的培训，乙方的培训应满足下列目标：</w:t>
      </w:r>
    </w:p>
    <w:p w14:paraId="00A1080D">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7.5.1甲方用户能操作和使用投标产品提供的各种功能；</w:t>
      </w:r>
    </w:p>
    <w:p w14:paraId="4E5C9F2E">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7.5.2如果系统出现问题，系统管理员能诊断和处理；</w:t>
      </w:r>
    </w:p>
    <w:p w14:paraId="7CB7EF14">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7.5.3安全管理员熟悉所有必要的安全措施，并能有效合理地实施这些措施；</w:t>
      </w:r>
    </w:p>
    <w:p w14:paraId="196437EF">
      <w:pPr>
        <w:spacing w:line="360" w:lineRule="auto"/>
        <w:ind w:firstLine="480" w:firstLineChars="2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7.5.4免费维保期内,乙方将采用定期走访、现场服务、电话和网络咨询等方式为甲方提供全方位技术服务；根据甲方的实际情况和需求完成本地化、合理化的软件开发、系统本身bug的修改、参数的配置、报表的添加等常规问题的解决。根据国家、省、市、医院的政策调整，须及时作出响应。</w:t>
      </w:r>
    </w:p>
    <w:p w14:paraId="63073CDA">
      <w:pPr>
        <w:spacing w:line="360" w:lineRule="auto"/>
        <w:rPr>
          <w:rFonts w:ascii="宋体" w:hAnsi="宋体" w:eastAsia="宋体" w:cs="宋体"/>
          <w:color w:val="auto"/>
          <w:sz w:val="24"/>
          <w:szCs w:val="24"/>
          <w:lang w:eastAsia="zh-CN"/>
        </w:rPr>
      </w:pPr>
      <w:r>
        <w:rPr>
          <w:rFonts w:ascii="宋体" w:hAnsi="宋体" w:eastAsia="宋体" w:cs="宋体"/>
          <w:b/>
          <w:bCs/>
          <w:color w:val="auto"/>
          <w:sz w:val="24"/>
          <w:szCs w:val="24"/>
          <w:lang w:eastAsia="zh-CN"/>
        </w:rPr>
        <w:t>第八条 知识产权及保密</w:t>
      </w:r>
      <w:r>
        <w:rPr>
          <w:rFonts w:ascii="宋体" w:hAnsi="宋体" w:eastAsia="宋体" w:cs="宋体"/>
          <w:color w:val="auto"/>
          <w:sz w:val="24"/>
          <w:szCs w:val="24"/>
          <w:lang w:eastAsia="zh-CN"/>
        </w:rPr>
        <w:tab/>
      </w:r>
    </w:p>
    <w:p w14:paraId="1872B4E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8.1乙方保证对其依据本合同向甲方所交付的产品拥有合法的所有权、知识产权及其它任何权益</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保证不侵犯任何第三方的所有权、知识产权及其它任何权益 ，同时没有索赔</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扣押</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抵押或其它行为存在或威胁到甲方，以致妨碍到甲方对产品的使用。</w:t>
      </w:r>
    </w:p>
    <w:p w14:paraId="1ACD3EF7">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8.2 乙方开发测试过程中使用的工具软件系统由乙方自行准备。交付甲方的成果物中不得包含对第三方的侵权 。</w:t>
      </w:r>
    </w:p>
    <w:p w14:paraId="0A1E54DE">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8.3 根据本合同规定的范围和条件甲方从乙方采购《</w:t>
      </w:r>
      <w:r>
        <w:rPr>
          <w:rFonts w:hint="eastAsia" w:ascii="宋体" w:hAnsi="宋体" w:cs="宋体"/>
          <w:color w:val="auto"/>
          <w:sz w:val="24"/>
          <w:szCs w:val="24"/>
          <w:lang w:val="en-US" w:eastAsia="zh-CN"/>
        </w:rPr>
        <w:t>项目名称</w:t>
      </w:r>
      <w:r>
        <w:rPr>
          <w:rFonts w:ascii="宋体" w:hAnsi="宋体" w:eastAsia="宋体" w:cs="宋体"/>
          <w:color w:val="auto"/>
          <w:sz w:val="24"/>
          <w:szCs w:val="24"/>
          <w:lang w:eastAsia="zh-CN"/>
        </w:rPr>
        <w:t>》项目软件产品，并获得相应的知识产权许可。</w:t>
      </w:r>
    </w:p>
    <w:p w14:paraId="03569339">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8.4 甲、乙双方均应采取严格的保密措施。未经对方事先的书面同意，不得将从对方处知悉的对方所有或对方负有保密义务的商业秘密</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进行未经授权的使用或向第三人披露。</w:t>
      </w:r>
    </w:p>
    <w:p w14:paraId="2F8D8FF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8.5 乙方因开发维护系统接触到的甲方数据，应严格保密措施，不能外泄。如因乙方工作人员的原因，造成甲方数据泄露以及患者隐私的泄露，引起严重后果的，由乙方承担全部责任。</w:t>
      </w:r>
    </w:p>
    <w:p w14:paraId="67DA96C3">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第九条</w:t>
      </w:r>
      <w:r>
        <w:rPr>
          <w:rFonts w:hint="eastAsia" w:ascii="宋体" w:hAnsi="宋体" w:eastAsia="宋体" w:cs="宋体"/>
          <w:b/>
          <w:bCs/>
          <w:color w:val="auto"/>
          <w:sz w:val="24"/>
          <w:szCs w:val="24"/>
          <w:lang w:eastAsia="zh-CN"/>
        </w:rPr>
        <w:t xml:space="preserve"> </w:t>
      </w:r>
      <w:r>
        <w:rPr>
          <w:rFonts w:ascii="宋体" w:hAnsi="宋体" w:eastAsia="宋体" w:cs="宋体"/>
          <w:b/>
          <w:bCs/>
          <w:color w:val="auto"/>
          <w:sz w:val="24"/>
          <w:szCs w:val="24"/>
          <w:lang w:eastAsia="zh-CN"/>
        </w:rPr>
        <w:t>三方的权利和义务</w:t>
      </w:r>
    </w:p>
    <w:p w14:paraId="09D4F33F">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9.1甲方权利义务</w:t>
      </w:r>
    </w:p>
    <w:p w14:paraId="29B4D68A">
      <w:pPr>
        <w:adjustRightInd w:val="0"/>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9.1.1 甲方享有本合同约定XXXXXXXXXXXXXXXXXXXXXXXXXX使用及所产生的数据资产权力。</w:t>
      </w:r>
    </w:p>
    <w:p w14:paraId="41A6A856">
      <w:pPr>
        <w:adjustRightInd w:val="0"/>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9.1.2甲方在合同约定实施及服务期间向乙方提供必要的配合与协助。</w:t>
      </w:r>
    </w:p>
    <w:p w14:paraId="4F94AD7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9.2乙方权利义务</w:t>
      </w:r>
    </w:p>
    <w:p w14:paraId="1DF1063A">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9.2.1乙方在合同约定期限内国家标准及合同约定要求进行产品实施、维</w:t>
      </w:r>
    </w:p>
    <w:p w14:paraId="3EE67B14">
      <w:pPr>
        <w:spacing w:line="360" w:lineRule="auto"/>
        <w:rPr>
          <w:rFonts w:ascii="宋体" w:hAnsi="宋体" w:eastAsia="宋体" w:cs="宋体"/>
          <w:color w:val="auto"/>
          <w:sz w:val="24"/>
          <w:szCs w:val="24"/>
          <w:lang w:eastAsia="zh-CN"/>
        </w:rPr>
      </w:pPr>
      <w:r>
        <w:rPr>
          <w:rFonts w:ascii="宋体" w:hAnsi="宋体" w:eastAsia="宋体" w:cs="宋体"/>
          <w:color w:val="auto"/>
          <w:sz w:val="24"/>
          <w:szCs w:val="24"/>
          <w:lang w:eastAsia="zh-CN"/>
        </w:rPr>
        <w:t>护工作，并做好维护记录。</w:t>
      </w:r>
    </w:p>
    <w:p w14:paraId="4961C8B2">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9.2.2乙方在质保期内负责XXXXXXXXXXXXXXXXXXXXXXXXXXXXXXXX服务工作，并提供相关的信息技术和跟进工作，确保甲方业务可以正常开展。</w:t>
      </w:r>
    </w:p>
    <w:p w14:paraId="69E338AB">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9.2.3乙方上门维护不再另行收取费用。</w:t>
      </w:r>
    </w:p>
    <w:p w14:paraId="685455B6">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9.2.4乙方或乙方工作人员在履行本合同期间以及提供售后服务时由于自身(包括其员工或其承包商等工作人员)过错造成自身、甲方或第三方人员伤害或财产损失的，乙方应承担全部责任。</w:t>
      </w:r>
    </w:p>
    <w:p w14:paraId="3A888E70">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9.2.5乙方根据XXXXXXXXXXXXXXXXXXXXXXX维护计划，并报告甲方。在未接到甲方报修通知的情况下，乙方按维护保养计划，对XXXXXXXXXXXXXXXXX定期进行维护。</w:t>
      </w:r>
    </w:p>
    <w:p w14:paraId="731D8792">
      <w:pPr>
        <w:spacing w:line="360" w:lineRule="auto"/>
        <w:ind w:firstLine="600" w:firstLineChars="250"/>
        <w:rPr>
          <w:rFonts w:ascii="宋体" w:hAnsi="宋体" w:eastAsia="宋体" w:cs="宋体"/>
          <w:color w:val="auto"/>
          <w:sz w:val="24"/>
          <w:szCs w:val="24"/>
          <w:lang w:eastAsia="zh-CN"/>
        </w:rPr>
      </w:pPr>
      <w:r>
        <w:rPr>
          <w:rFonts w:ascii="宋体" w:hAnsi="宋体" w:eastAsia="宋体" w:cs="宋体"/>
          <w:color w:val="auto"/>
          <w:sz w:val="24"/>
          <w:szCs w:val="24"/>
          <w:lang w:eastAsia="zh-CN"/>
        </w:rPr>
        <w:t>9.2.6质保期满后，若甲方需乙方继续提供维保及系统维护服务的，由甲</w:t>
      </w:r>
    </w:p>
    <w:p w14:paraId="389EB46E">
      <w:pPr>
        <w:spacing w:line="360" w:lineRule="auto"/>
        <w:rPr>
          <w:rFonts w:ascii="宋体" w:hAnsi="宋体" w:eastAsia="宋体" w:cs="宋体"/>
          <w:color w:val="auto"/>
          <w:sz w:val="24"/>
          <w:szCs w:val="24"/>
          <w:lang w:eastAsia="zh-CN"/>
        </w:rPr>
      </w:pPr>
      <w:r>
        <w:rPr>
          <w:rFonts w:ascii="宋体" w:hAnsi="宋体" w:eastAsia="宋体" w:cs="宋体"/>
          <w:color w:val="auto"/>
          <w:sz w:val="24"/>
          <w:szCs w:val="24"/>
          <w:lang w:eastAsia="zh-CN"/>
        </w:rPr>
        <w:t>乙</w:t>
      </w:r>
      <w:r>
        <w:rPr>
          <w:rFonts w:hint="eastAsia" w:ascii="宋体" w:hAnsi="宋体" w:cs="宋体"/>
          <w:color w:val="auto"/>
          <w:sz w:val="24"/>
          <w:szCs w:val="24"/>
          <w:lang w:val="en-US" w:eastAsia="zh-CN"/>
        </w:rPr>
        <w:t>双</w:t>
      </w:r>
      <w:r>
        <w:rPr>
          <w:rFonts w:ascii="宋体" w:hAnsi="宋体" w:eastAsia="宋体" w:cs="宋体"/>
          <w:color w:val="auto"/>
          <w:sz w:val="24"/>
          <w:szCs w:val="24"/>
          <w:lang w:eastAsia="zh-CN"/>
        </w:rPr>
        <w:t>方重新签署维保协议。</w:t>
      </w:r>
    </w:p>
    <w:p w14:paraId="1021FB64">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第十条</w:t>
      </w:r>
      <w:r>
        <w:rPr>
          <w:rFonts w:hint="eastAsia" w:ascii="宋体" w:hAnsi="宋体" w:eastAsia="宋体" w:cs="宋体"/>
          <w:b/>
          <w:bCs/>
          <w:color w:val="auto"/>
          <w:sz w:val="24"/>
          <w:szCs w:val="24"/>
          <w:lang w:eastAsia="zh-CN"/>
        </w:rPr>
        <w:t xml:space="preserve"> </w:t>
      </w:r>
      <w:r>
        <w:rPr>
          <w:rFonts w:ascii="宋体" w:hAnsi="宋体" w:eastAsia="宋体" w:cs="宋体"/>
          <w:b/>
          <w:bCs/>
          <w:color w:val="auto"/>
          <w:sz w:val="24"/>
          <w:szCs w:val="24"/>
          <w:lang w:eastAsia="zh-CN"/>
        </w:rPr>
        <w:t>违约责任</w:t>
      </w:r>
    </w:p>
    <w:p w14:paraId="2C4B631D">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1、按《中华人民共和国民法典》中的相关条款执行；</w:t>
      </w:r>
    </w:p>
    <w:p w14:paraId="4E7C75FB">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2、乙方未能按期履行合同或乙方未按合同要求提供货物或货物质量不能满足甲方要求，甲方有权单方面解除合同，乙方除应返还甲方已支付的款项外，还应承担本合同总金额20%的违约金，违约金不足以弥补损失的，乙方应予补足；</w:t>
      </w:r>
    </w:p>
    <w:p w14:paraId="4931A01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3、交货期每逾期一天，乙方应向甲方支付合同总价款的5‰违约金。逾期超过15日的，甲方有单方面解除本合同，乙方除退还甲方已支付全部费用外还应按照合同总价的20%向甲方支付违约金。违约金不足以弥补损失的，乙方应予以补足。</w:t>
      </w:r>
    </w:p>
    <w:p w14:paraId="21FD638A">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4、未按合同要求提供产品或设备质量不能满足技术要求，采购方有权终止合同，并对中标单位违约行为进行追究，同时按《政府采购法》的有关规定进行处罚。</w:t>
      </w:r>
    </w:p>
    <w:p w14:paraId="019B0442">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第十一条 不可抗力</w:t>
      </w:r>
    </w:p>
    <w:p w14:paraId="48613C7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11.1 因台风、地震、水灾等不可预见并且三方对其发生和后果不能避免、不能克服的客观情况为不可抗力。</w:t>
      </w:r>
    </w:p>
    <w:p w14:paraId="4709275C">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11.2 由于不可抗力的因素对履行合同产生影响时，受影响的一方，应立即将事件情况通知对方，并在10个自然日内提供事件详情以及合同不能履行、或部分不能履行、或需要延期履行的理由的有效证明文件。按不可抗力事件对履行本合同的影响程度，由三方协商决定是否解除合同、部分免除或变更合同的责任，或延期履行合同。</w:t>
      </w:r>
    </w:p>
    <w:p w14:paraId="3EB241BE">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第十二条 争议解决方式</w:t>
      </w:r>
    </w:p>
    <w:p w14:paraId="4D85CCC9">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合同在履行过程如发生争议，由当事人</w:t>
      </w:r>
      <w:r>
        <w:rPr>
          <w:rFonts w:hint="eastAsia" w:ascii="宋体" w:hAnsi="宋体" w:cs="宋体"/>
          <w:color w:val="auto"/>
          <w:sz w:val="24"/>
          <w:szCs w:val="24"/>
          <w:lang w:val="en-US" w:eastAsia="zh-CN"/>
        </w:rPr>
        <w:t>双</w:t>
      </w:r>
      <w:r>
        <w:rPr>
          <w:rFonts w:ascii="宋体" w:hAnsi="宋体" w:eastAsia="宋体" w:cs="宋体"/>
          <w:color w:val="auto"/>
          <w:sz w:val="24"/>
          <w:szCs w:val="24"/>
          <w:lang w:eastAsia="zh-CN"/>
        </w:rPr>
        <w:t>方协商解决。协商不成，甲乙</w:t>
      </w:r>
      <w:r>
        <w:rPr>
          <w:rFonts w:hint="eastAsia" w:ascii="宋体" w:hAnsi="宋体" w:cs="宋体"/>
          <w:color w:val="auto"/>
          <w:sz w:val="24"/>
          <w:szCs w:val="24"/>
          <w:lang w:val="en-US" w:eastAsia="zh-CN"/>
        </w:rPr>
        <w:t>双方</w:t>
      </w:r>
      <w:r>
        <w:rPr>
          <w:rFonts w:ascii="宋体" w:hAnsi="宋体" w:eastAsia="宋体" w:cs="宋体"/>
          <w:color w:val="auto"/>
          <w:sz w:val="24"/>
          <w:szCs w:val="24"/>
          <w:lang w:eastAsia="zh-CN"/>
        </w:rPr>
        <w:t>同意由所在地有管辖权的人民法院起诉。</w:t>
      </w:r>
    </w:p>
    <w:p w14:paraId="012984D6">
      <w:pPr>
        <w:spacing w:line="360" w:lineRule="auto"/>
        <w:rPr>
          <w:rFonts w:ascii="宋体" w:hAnsi="宋体" w:eastAsia="宋体" w:cs="宋体"/>
          <w:b/>
          <w:bCs/>
          <w:color w:val="auto"/>
          <w:sz w:val="24"/>
          <w:szCs w:val="24"/>
          <w:lang w:eastAsia="zh-CN"/>
        </w:rPr>
      </w:pPr>
      <w:r>
        <w:rPr>
          <w:rFonts w:ascii="宋体" w:hAnsi="宋体" w:eastAsia="宋体" w:cs="宋体"/>
          <w:b/>
          <w:bCs/>
          <w:color w:val="auto"/>
          <w:sz w:val="24"/>
          <w:szCs w:val="24"/>
          <w:lang w:eastAsia="zh-CN"/>
        </w:rPr>
        <w:t>第十三条 其他</w:t>
      </w:r>
    </w:p>
    <w:p w14:paraId="2DE438A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13.1 本合同之未尽事宜，甲乙</w:t>
      </w:r>
      <w:r>
        <w:rPr>
          <w:rFonts w:hint="eastAsia" w:ascii="宋体" w:hAnsi="宋体" w:cs="宋体"/>
          <w:color w:val="auto"/>
          <w:sz w:val="24"/>
          <w:szCs w:val="24"/>
          <w:lang w:val="en-US" w:eastAsia="zh-CN"/>
        </w:rPr>
        <w:t>双</w:t>
      </w:r>
      <w:r>
        <w:rPr>
          <w:rFonts w:ascii="宋体" w:hAnsi="宋体" w:eastAsia="宋体" w:cs="宋体"/>
          <w:color w:val="auto"/>
          <w:sz w:val="24"/>
          <w:szCs w:val="24"/>
          <w:lang w:eastAsia="zh-CN"/>
        </w:rPr>
        <w:t>方同意以补充协议或其它书面形式另行约定。</w:t>
      </w:r>
    </w:p>
    <w:p w14:paraId="16F11957">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13.2 本合同自甲乙</w:t>
      </w:r>
      <w:r>
        <w:rPr>
          <w:rFonts w:hint="eastAsia" w:ascii="宋体" w:hAnsi="宋体" w:cs="宋体"/>
          <w:color w:val="auto"/>
          <w:sz w:val="24"/>
          <w:szCs w:val="24"/>
          <w:lang w:val="en-US" w:eastAsia="zh-CN"/>
        </w:rPr>
        <w:t>双</w:t>
      </w:r>
      <w:r>
        <w:rPr>
          <w:rFonts w:ascii="宋体" w:hAnsi="宋体" w:eastAsia="宋体" w:cs="宋体"/>
          <w:color w:val="auto"/>
          <w:sz w:val="24"/>
          <w:szCs w:val="24"/>
          <w:lang w:eastAsia="zh-CN"/>
        </w:rPr>
        <w:t>方签字并加盖公章或合同专用章之日起生效，若使用合同专用章，则需出具合同专用章与公章具有同等法律效应的情况说明，并加盖公章。</w:t>
      </w:r>
    </w:p>
    <w:p w14:paraId="42445DDD">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13.3 本合同一式</w:t>
      </w:r>
      <w:r>
        <w:rPr>
          <w:rFonts w:hint="eastAsia" w:ascii="宋体" w:hAnsi="宋体" w:cs="宋体"/>
          <w:color w:val="auto"/>
          <w:sz w:val="24"/>
          <w:szCs w:val="24"/>
          <w:lang w:val="en-US" w:eastAsia="zh-CN"/>
        </w:rPr>
        <w:t>肆</w:t>
      </w:r>
      <w:r>
        <w:rPr>
          <w:rFonts w:ascii="宋体" w:hAnsi="宋体" w:eastAsia="宋体" w:cs="宋体"/>
          <w:color w:val="auto"/>
          <w:sz w:val="24"/>
          <w:szCs w:val="24"/>
          <w:lang w:eastAsia="zh-CN"/>
        </w:rPr>
        <w:t>份，甲乙</w:t>
      </w:r>
      <w:r>
        <w:rPr>
          <w:rFonts w:hint="eastAsia" w:ascii="宋体" w:hAnsi="宋体" w:cs="宋体"/>
          <w:color w:val="auto"/>
          <w:sz w:val="24"/>
          <w:szCs w:val="24"/>
          <w:lang w:val="en-US" w:eastAsia="zh-CN"/>
        </w:rPr>
        <w:t>双</w:t>
      </w:r>
      <w:r>
        <w:rPr>
          <w:rFonts w:ascii="宋体" w:hAnsi="宋体" w:eastAsia="宋体" w:cs="宋体"/>
          <w:color w:val="auto"/>
          <w:sz w:val="24"/>
          <w:szCs w:val="24"/>
          <w:lang w:eastAsia="zh-CN"/>
        </w:rPr>
        <w:t>方各执贰份，具有同等法律效力 。</w:t>
      </w:r>
    </w:p>
    <w:p w14:paraId="26CBC628">
      <w:pPr>
        <w:spacing w:line="360" w:lineRule="auto"/>
        <w:rPr>
          <w:rFonts w:ascii="宋体" w:hAnsi="宋体" w:eastAsia="宋体" w:cs="宋体"/>
          <w:color w:val="auto"/>
          <w:sz w:val="24"/>
          <w:szCs w:val="24"/>
          <w:lang w:eastAsia="zh-CN"/>
        </w:rPr>
      </w:pPr>
    </w:p>
    <w:tbl>
      <w:tblPr>
        <w:tblStyle w:val="6"/>
        <w:tblW w:w="8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8"/>
        <w:gridCol w:w="4365"/>
      </w:tblGrid>
      <w:tr w14:paraId="69B5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126C730E">
            <w:pPr>
              <w:spacing w:line="360" w:lineRule="auto"/>
              <w:jc w:val="both"/>
              <w:rPr>
                <w:rFonts w:ascii="Times New Roman" w:hAnsi="Times New Roman" w:cs="Times New Roman"/>
                <w:color w:val="auto"/>
                <w:sz w:val="24"/>
                <w:szCs w:val="21"/>
                <w:lang w:eastAsia="zh-CN"/>
              </w:rPr>
            </w:pPr>
            <w:r>
              <w:rPr>
                <w:rFonts w:ascii="Times New Roman" w:hAnsi="Times New Roman" w:cs="Times New Roman"/>
                <w:color w:val="auto"/>
                <w:sz w:val="24"/>
                <w:szCs w:val="21"/>
                <w:lang w:eastAsia="zh-CN"/>
              </w:rPr>
              <w:t>甲方</w:t>
            </w:r>
            <w:r>
              <w:rPr>
                <w:rFonts w:hint="eastAsia" w:cs="Times New Roman"/>
                <w:color w:val="auto"/>
                <w:sz w:val="24"/>
                <w:szCs w:val="21"/>
                <w:lang w:eastAsia="zh-CN"/>
              </w:rPr>
              <w:t>（</w:t>
            </w:r>
            <w:r>
              <w:rPr>
                <w:rFonts w:hint="eastAsia" w:cs="Times New Roman"/>
                <w:color w:val="auto"/>
                <w:sz w:val="24"/>
                <w:szCs w:val="21"/>
                <w:lang w:val="en-US" w:eastAsia="zh-CN"/>
              </w:rPr>
              <w:t>盖章）</w:t>
            </w:r>
            <w:r>
              <w:rPr>
                <w:rFonts w:ascii="Times New Roman" w:hAnsi="Times New Roman" w:cs="Times New Roman"/>
                <w:color w:val="auto"/>
                <w:sz w:val="24"/>
                <w:szCs w:val="21"/>
                <w:lang w:eastAsia="zh-CN"/>
              </w:rPr>
              <w:t>：</w:t>
            </w:r>
          </w:p>
        </w:tc>
        <w:tc>
          <w:tcPr>
            <w:tcW w:w="4365" w:type="dxa"/>
          </w:tcPr>
          <w:p w14:paraId="27144F98">
            <w:pPr>
              <w:spacing w:line="360" w:lineRule="auto"/>
              <w:jc w:val="both"/>
              <w:rPr>
                <w:rFonts w:ascii="Times New Roman" w:hAnsi="Times New Roman" w:cs="Times New Roman"/>
                <w:color w:val="auto"/>
                <w:sz w:val="24"/>
                <w:szCs w:val="21"/>
                <w:lang w:eastAsia="zh-CN"/>
              </w:rPr>
            </w:pPr>
            <w:r>
              <w:rPr>
                <w:rFonts w:ascii="Times New Roman" w:hAnsi="Times New Roman" w:cs="Times New Roman"/>
                <w:color w:val="auto"/>
                <w:sz w:val="24"/>
                <w:szCs w:val="21"/>
                <w:lang w:eastAsia="zh-CN"/>
              </w:rPr>
              <w:t>乙方</w:t>
            </w:r>
            <w:r>
              <w:rPr>
                <w:rFonts w:hint="eastAsia" w:cs="Times New Roman"/>
                <w:color w:val="auto"/>
                <w:sz w:val="24"/>
                <w:szCs w:val="21"/>
                <w:lang w:eastAsia="zh-CN"/>
              </w:rPr>
              <w:t>（</w:t>
            </w:r>
            <w:r>
              <w:rPr>
                <w:rFonts w:hint="eastAsia" w:cs="Times New Roman"/>
                <w:color w:val="auto"/>
                <w:sz w:val="24"/>
                <w:szCs w:val="21"/>
                <w:lang w:val="en-US" w:eastAsia="zh-CN"/>
              </w:rPr>
              <w:t>盖章）</w:t>
            </w:r>
            <w:r>
              <w:rPr>
                <w:rFonts w:ascii="Times New Roman" w:hAnsi="Times New Roman" w:cs="Times New Roman"/>
                <w:color w:val="auto"/>
                <w:sz w:val="24"/>
                <w:szCs w:val="21"/>
                <w:lang w:eastAsia="zh-CN"/>
              </w:rPr>
              <w:t>：</w:t>
            </w:r>
          </w:p>
        </w:tc>
      </w:tr>
      <w:tr w14:paraId="2C15B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697F978C">
            <w:pPr>
              <w:spacing w:line="360" w:lineRule="auto"/>
              <w:jc w:val="both"/>
              <w:rPr>
                <w:rFonts w:ascii="Times New Roman" w:hAnsi="Times New Roman" w:cs="Times New Roman"/>
                <w:color w:val="auto"/>
                <w:sz w:val="24"/>
                <w:szCs w:val="21"/>
                <w:lang w:eastAsia="zh-CN"/>
              </w:rPr>
            </w:pPr>
            <w:r>
              <w:rPr>
                <w:rFonts w:ascii="Times New Roman" w:hAnsi="Times New Roman" w:cs="Times New Roman"/>
                <w:color w:val="auto"/>
                <w:sz w:val="24"/>
                <w:szCs w:val="21"/>
                <w:lang w:eastAsia="zh-CN"/>
              </w:rPr>
              <w:t>甲方单位地址：</w:t>
            </w:r>
          </w:p>
        </w:tc>
        <w:tc>
          <w:tcPr>
            <w:tcW w:w="4365" w:type="dxa"/>
          </w:tcPr>
          <w:p w14:paraId="6C6E7C76">
            <w:pPr>
              <w:autoSpaceDE w:val="0"/>
              <w:autoSpaceDN w:val="0"/>
              <w:adjustRightInd w:val="0"/>
              <w:spacing w:after="200" w:line="276" w:lineRule="auto"/>
              <w:jc w:val="both"/>
              <w:rPr>
                <w:rFonts w:ascii="Times New Roman" w:hAnsi="Times New Roman" w:eastAsia="宋体" w:cs="Times New Roman"/>
                <w:color w:val="auto"/>
                <w:lang w:eastAsia="zh-CN"/>
              </w:rPr>
            </w:pPr>
            <w:r>
              <w:rPr>
                <w:rFonts w:ascii="Times New Roman" w:hAnsi="Times New Roman" w:eastAsia="等线" w:cs="Times New Roman"/>
                <w:color w:val="auto"/>
                <w:sz w:val="24"/>
                <w:szCs w:val="24"/>
                <w:lang w:val="zh-CN" w:eastAsia="zh-CN"/>
              </w:rPr>
              <w:t>乙方单位地址</w:t>
            </w:r>
            <w:r>
              <w:rPr>
                <w:rFonts w:hint="eastAsia" w:eastAsia="等线" w:cs="Times New Roman"/>
                <w:color w:val="auto"/>
                <w:sz w:val="24"/>
                <w:szCs w:val="24"/>
                <w:lang w:val="zh-CN" w:eastAsia="zh-CN"/>
              </w:rPr>
              <w:t>：</w:t>
            </w:r>
          </w:p>
        </w:tc>
      </w:tr>
      <w:tr w14:paraId="0B61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0306C029">
            <w:pPr>
              <w:spacing w:line="360" w:lineRule="auto"/>
              <w:jc w:val="both"/>
              <w:rPr>
                <w:rFonts w:ascii="Times New Roman" w:hAnsi="Times New Roman" w:cs="Times New Roman"/>
                <w:color w:val="auto"/>
                <w:sz w:val="24"/>
                <w:szCs w:val="21"/>
                <w:lang w:eastAsia="zh-CN"/>
              </w:rPr>
            </w:pPr>
            <w:r>
              <w:rPr>
                <w:rFonts w:ascii="Times New Roman" w:hAnsi="Times New Roman" w:cs="Times New Roman"/>
                <w:color w:val="auto"/>
                <w:sz w:val="24"/>
                <w:szCs w:val="21"/>
                <w:lang w:eastAsia="zh-CN"/>
              </w:rPr>
              <w:t>法定代表人</w:t>
            </w:r>
            <w:r>
              <w:rPr>
                <w:rFonts w:hint="eastAsia" w:cs="Times New Roman"/>
                <w:color w:val="auto"/>
                <w:sz w:val="24"/>
                <w:szCs w:val="21"/>
                <w:lang w:eastAsia="zh-CN"/>
              </w:rPr>
              <w:t>（</w:t>
            </w:r>
            <w:r>
              <w:rPr>
                <w:rFonts w:hint="eastAsia" w:cs="Times New Roman"/>
                <w:color w:val="auto"/>
                <w:sz w:val="24"/>
                <w:szCs w:val="21"/>
                <w:lang w:val="en-US" w:eastAsia="zh-CN"/>
              </w:rPr>
              <w:t>签字或盖章</w:t>
            </w:r>
            <w:r>
              <w:rPr>
                <w:rFonts w:hint="eastAsia" w:cs="Times New Roman"/>
                <w:color w:val="auto"/>
                <w:sz w:val="24"/>
                <w:szCs w:val="21"/>
                <w:lang w:eastAsia="zh-CN"/>
              </w:rPr>
              <w:t>）</w:t>
            </w:r>
            <w:r>
              <w:rPr>
                <w:rFonts w:ascii="Times New Roman" w:hAnsi="Times New Roman" w:cs="Times New Roman"/>
                <w:color w:val="auto"/>
                <w:sz w:val="24"/>
                <w:szCs w:val="21"/>
                <w:lang w:eastAsia="zh-CN"/>
              </w:rPr>
              <w:t>：</w:t>
            </w:r>
          </w:p>
        </w:tc>
        <w:tc>
          <w:tcPr>
            <w:tcW w:w="4365" w:type="dxa"/>
          </w:tcPr>
          <w:p w14:paraId="0C7563CF">
            <w:pPr>
              <w:spacing w:line="360" w:lineRule="auto"/>
              <w:jc w:val="both"/>
              <w:rPr>
                <w:rFonts w:ascii="Times New Roman" w:hAnsi="Times New Roman" w:cs="Times New Roman"/>
                <w:color w:val="auto"/>
                <w:sz w:val="24"/>
                <w:szCs w:val="21"/>
              </w:rPr>
            </w:pPr>
            <w:r>
              <w:rPr>
                <w:rFonts w:ascii="Times New Roman" w:hAnsi="Times New Roman" w:cs="Times New Roman"/>
                <w:color w:val="auto"/>
                <w:sz w:val="24"/>
                <w:szCs w:val="21"/>
                <w:lang w:eastAsia="zh-CN"/>
              </w:rPr>
              <w:t>法定代表人</w:t>
            </w:r>
            <w:r>
              <w:rPr>
                <w:rFonts w:hint="eastAsia" w:cs="Times New Roman"/>
                <w:color w:val="auto"/>
                <w:sz w:val="24"/>
                <w:szCs w:val="21"/>
                <w:lang w:eastAsia="zh-CN"/>
              </w:rPr>
              <w:t>（</w:t>
            </w:r>
            <w:r>
              <w:rPr>
                <w:rFonts w:hint="eastAsia" w:cs="Times New Roman"/>
                <w:color w:val="auto"/>
                <w:sz w:val="24"/>
                <w:szCs w:val="21"/>
                <w:lang w:val="en-US" w:eastAsia="zh-CN"/>
              </w:rPr>
              <w:t>签字或盖章</w:t>
            </w:r>
            <w:r>
              <w:rPr>
                <w:rFonts w:hint="eastAsia" w:cs="Times New Roman"/>
                <w:color w:val="auto"/>
                <w:sz w:val="24"/>
                <w:szCs w:val="21"/>
                <w:lang w:eastAsia="zh-CN"/>
              </w:rPr>
              <w:t>）</w:t>
            </w:r>
            <w:r>
              <w:rPr>
                <w:rFonts w:ascii="Times New Roman" w:hAnsi="Times New Roman" w:cs="Times New Roman"/>
                <w:color w:val="auto"/>
                <w:sz w:val="24"/>
                <w:szCs w:val="21"/>
                <w:lang w:eastAsia="zh-CN"/>
              </w:rPr>
              <w:t>：</w:t>
            </w:r>
          </w:p>
        </w:tc>
      </w:tr>
      <w:tr w14:paraId="779C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47533024">
            <w:pPr>
              <w:spacing w:line="360" w:lineRule="auto"/>
              <w:jc w:val="both"/>
              <w:rPr>
                <w:rFonts w:hint="eastAsia" w:ascii="Times New Roman" w:hAnsi="Times New Roman" w:eastAsia="宋体" w:cs="Times New Roman"/>
                <w:color w:val="auto"/>
                <w:sz w:val="24"/>
                <w:szCs w:val="21"/>
                <w:lang w:eastAsia="zh-CN"/>
              </w:rPr>
            </w:pPr>
            <w:r>
              <w:rPr>
                <w:rFonts w:ascii="Times New Roman" w:hAnsi="Times New Roman" w:cs="Times New Roman"/>
                <w:color w:val="auto"/>
                <w:sz w:val="24"/>
                <w:szCs w:val="21"/>
              </w:rPr>
              <w:t>联系电话</w:t>
            </w:r>
            <w:r>
              <w:rPr>
                <w:rFonts w:hint="eastAsia" w:cs="Times New Roman"/>
                <w:color w:val="auto"/>
                <w:sz w:val="24"/>
                <w:szCs w:val="21"/>
                <w:lang w:eastAsia="zh-CN"/>
              </w:rPr>
              <w:t>：</w:t>
            </w:r>
          </w:p>
        </w:tc>
        <w:tc>
          <w:tcPr>
            <w:tcW w:w="4365" w:type="dxa"/>
          </w:tcPr>
          <w:p w14:paraId="690F5643">
            <w:pPr>
              <w:spacing w:line="360" w:lineRule="auto"/>
              <w:jc w:val="both"/>
              <w:rPr>
                <w:rFonts w:ascii="Times New Roman" w:hAnsi="Times New Roman" w:eastAsia="宋体" w:cs="Times New Roman"/>
                <w:color w:val="auto"/>
                <w:sz w:val="24"/>
                <w:szCs w:val="21"/>
                <w:lang w:eastAsia="zh-CN"/>
              </w:rPr>
            </w:pPr>
            <w:r>
              <w:rPr>
                <w:rFonts w:ascii="Times New Roman" w:hAnsi="Times New Roman" w:eastAsia="宋体" w:cs="Times New Roman"/>
                <w:color w:val="auto"/>
                <w:sz w:val="24"/>
                <w:szCs w:val="21"/>
              </w:rPr>
              <w:t>法人电话：</w:t>
            </w:r>
          </w:p>
        </w:tc>
      </w:tr>
      <w:tr w14:paraId="4AD9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7E4A2066">
            <w:pPr>
              <w:spacing w:line="360" w:lineRule="auto"/>
              <w:jc w:val="both"/>
              <w:rPr>
                <w:rFonts w:ascii="Times New Roman" w:hAnsi="Times New Roman" w:cs="Times New Roman"/>
                <w:color w:val="auto"/>
                <w:sz w:val="24"/>
                <w:szCs w:val="21"/>
                <w:lang w:eastAsia="zh-CN"/>
              </w:rPr>
            </w:pPr>
            <w:r>
              <w:rPr>
                <w:rFonts w:ascii="Times New Roman" w:hAnsi="Times New Roman" w:cs="Times New Roman"/>
                <w:color w:val="auto"/>
                <w:sz w:val="24"/>
                <w:szCs w:val="21"/>
              </w:rPr>
              <w:t>授权代表</w:t>
            </w:r>
            <w:r>
              <w:rPr>
                <w:rFonts w:hint="eastAsia" w:cs="Times New Roman"/>
                <w:color w:val="auto"/>
                <w:sz w:val="24"/>
                <w:szCs w:val="21"/>
                <w:lang w:eastAsia="zh-CN"/>
              </w:rPr>
              <w:t>（</w:t>
            </w:r>
            <w:r>
              <w:rPr>
                <w:rFonts w:hint="eastAsia" w:cs="Times New Roman"/>
                <w:color w:val="auto"/>
                <w:sz w:val="24"/>
                <w:szCs w:val="21"/>
                <w:lang w:val="en-US" w:eastAsia="zh-CN"/>
              </w:rPr>
              <w:t>签字或盖章</w:t>
            </w:r>
            <w:r>
              <w:rPr>
                <w:rFonts w:hint="eastAsia" w:cs="Times New Roman"/>
                <w:color w:val="auto"/>
                <w:sz w:val="24"/>
                <w:szCs w:val="21"/>
                <w:lang w:eastAsia="zh-CN"/>
              </w:rPr>
              <w:t>）</w:t>
            </w:r>
            <w:r>
              <w:rPr>
                <w:rFonts w:ascii="Times New Roman" w:hAnsi="Times New Roman" w:cs="Times New Roman"/>
                <w:color w:val="auto"/>
                <w:sz w:val="24"/>
                <w:szCs w:val="21"/>
              </w:rPr>
              <w:t>：</w:t>
            </w:r>
          </w:p>
        </w:tc>
        <w:tc>
          <w:tcPr>
            <w:tcW w:w="4365" w:type="dxa"/>
          </w:tcPr>
          <w:p w14:paraId="1C9B855B">
            <w:pPr>
              <w:spacing w:line="360" w:lineRule="auto"/>
              <w:jc w:val="both"/>
              <w:rPr>
                <w:rFonts w:ascii="Times New Roman" w:hAnsi="Times New Roman" w:cs="Times New Roman"/>
                <w:color w:val="auto"/>
                <w:sz w:val="24"/>
                <w:szCs w:val="21"/>
              </w:rPr>
            </w:pPr>
            <w:r>
              <w:rPr>
                <w:rFonts w:ascii="Times New Roman" w:hAnsi="Times New Roman" w:cs="Times New Roman"/>
                <w:color w:val="auto"/>
                <w:sz w:val="24"/>
                <w:szCs w:val="21"/>
              </w:rPr>
              <w:t>授权代表</w:t>
            </w:r>
            <w:r>
              <w:rPr>
                <w:rFonts w:hint="eastAsia" w:cs="Times New Roman"/>
                <w:color w:val="auto"/>
                <w:sz w:val="24"/>
                <w:szCs w:val="21"/>
                <w:lang w:eastAsia="zh-CN"/>
              </w:rPr>
              <w:t>（</w:t>
            </w:r>
            <w:r>
              <w:rPr>
                <w:rFonts w:hint="eastAsia" w:cs="Times New Roman"/>
                <w:color w:val="auto"/>
                <w:sz w:val="24"/>
                <w:szCs w:val="21"/>
                <w:lang w:val="en-US" w:eastAsia="zh-CN"/>
              </w:rPr>
              <w:t>签字或盖章</w:t>
            </w:r>
            <w:r>
              <w:rPr>
                <w:rFonts w:hint="eastAsia" w:cs="Times New Roman"/>
                <w:color w:val="auto"/>
                <w:sz w:val="24"/>
                <w:szCs w:val="21"/>
                <w:lang w:eastAsia="zh-CN"/>
              </w:rPr>
              <w:t>）</w:t>
            </w:r>
            <w:r>
              <w:rPr>
                <w:rFonts w:ascii="Times New Roman" w:hAnsi="Times New Roman" w:cs="Times New Roman"/>
                <w:color w:val="auto"/>
                <w:sz w:val="24"/>
                <w:szCs w:val="21"/>
              </w:rPr>
              <w:t>：</w:t>
            </w:r>
          </w:p>
        </w:tc>
      </w:tr>
      <w:tr w14:paraId="5DF5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19F783E2">
            <w:pPr>
              <w:spacing w:line="360" w:lineRule="auto"/>
              <w:jc w:val="both"/>
              <w:rPr>
                <w:rFonts w:ascii="Times New Roman" w:hAnsi="Times New Roman" w:cs="Times New Roman"/>
                <w:color w:val="auto"/>
                <w:sz w:val="24"/>
                <w:szCs w:val="21"/>
                <w:lang w:eastAsia="zh-CN"/>
              </w:rPr>
            </w:pPr>
            <w:r>
              <w:rPr>
                <w:rFonts w:hint="eastAsia" w:cs="Times New Roman"/>
                <w:color w:val="auto"/>
                <w:sz w:val="24"/>
                <w:szCs w:val="21"/>
                <w:lang w:val="en-US" w:eastAsia="zh-CN"/>
              </w:rPr>
              <w:t>联系</w:t>
            </w:r>
            <w:r>
              <w:rPr>
                <w:rFonts w:ascii="Times New Roman" w:hAnsi="Times New Roman" w:cs="Times New Roman"/>
                <w:color w:val="auto"/>
                <w:sz w:val="24"/>
                <w:szCs w:val="21"/>
                <w:lang w:eastAsia="zh-CN"/>
              </w:rPr>
              <w:t>电话：</w:t>
            </w:r>
          </w:p>
        </w:tc>
        <w:tc>
          <w:tcPr>
            <w:tcW w:w="4365" w:type="dxa"/>
          </w:tcPr>
          <w:p w14:paraId="42014710">
            <w:pPr>
              <w:spacing w:line="360" w:lineRule="auto"/>
              <w:jc w:val="both"/>
              <w:rPr>
                <w:rFonts w:ascii="Times New Roman" w:hAnsi="Times New Roman" w:cs="Times New Roman"/>
                <w:color w:val="auto"/>
                <w:sz w:val="24"/>
                <w:szCs w:val="21"/>
                <w:lang w:eastAsia="zh-CN"/>
              </w:rPr>
            </w:pPr>
            <w:r>
              <w:rPr>
                <w:rFonts w:hint="eastAsia" w:cs="Times New Roman"/>
                <w:color w:val="auto"/>
                <w:sz w:val="24"/>
                <w:szCs w:val="21"/>
                <w:lang w:val="en-US" w:eastAsia="zh-CN"/>
              </w:rPr>
              <w:t>联系</w:t>
            </w:r>
            <w:r>
              <w:rPr>
                <w:rFonts w:ascii="Times New Roman" w:hAnsi="Times New Roman" w:cs="Times New Roman"/>
                <w:color w:val="auto"/>
                <w:sz w:val="24"/>
                <w:szCs w:val="21"/>
                <w:lang w:eastAsia="zh-CN"/>
              </w:rPr>
              <w:t>电话：</w:t>
            </w:r>
          </w:p>
        </w:tc>
      </w:tr>
      <w:tr w14:paraId="5E73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3D6E165D">
            <w:pPr>
              <w:spacing w:line="360" w:lineRule="auto"/>
              <w:jc w:val="both"/>
              <w:rPr>
                <w:rFonts w:ascii="Times New Roman" w:hAnsi="Times New Roman" w:cs="Times New Roman"/>
                <w:color w:val="auto"/>
                <w:sz w:val="24"/>
                <w:szCs w:val="21"/>
                <w:lang w:eastAsia="zh-CN"/>
              </w:rPr>
            </w:pPr>
            <w:r>
              <w:rPr>
                <w:rFonts w:ascii="Times New Roman" w:hAnsi="Times New Roman" w:cs="Times New Roman"/>
                <w:color w:val="auto"/>
                <w:sz w:val="24"/>
                <w:szCs w:val="21"/>
                <w:lang w:eastAsia="zh-CN"/>
              </w:rPr>
              <w:t>开户银行：</w:t>
            </w:r>
          </w:p>
        </w:tc>
        <w:tc>
          <w:tcPr>
            <w:tcW w:w="4365" w:type="dxa"/>
          </w:tcPr>
          <w:p w14:paraId="75212394">
            <w:pPr>
              <w:pStyle w:val="4"/>
              <w:spacing w:before="78" w:line="360" w:lineRule="auto"/>
              <w:ind w:left="0" w:right="230"/>
              <w:jc w:val="both"/>
              <w:rPr>
                <w:rFonts w:ascii="Times New Roman" w:hAnsi="Times New Roman" w:cs="Times New Roman"/>
                <w:color w:val="auto"/>
                <w:spacing w:val="-8"/>
                <w:lang w:eastAsia="zh-CN"/>
              </w:rPr>
            </w:pPr>
            <w:r>
              <w:rPr>
                <w:rFonts w:ascii="Times New Roman" w:hAnsi="Times New Roman" w:cs="Times New Roman"/>
                <w:color w:val="auto"/>
                <w:sz w:val="24"/>
                <w:szCs w:val="21"/>
                <w:lang w:eastAsia="zh-CN"/>
              </w:rPr>
              <w:t>开户银行：</w:t>
            </w:r>
          </w:p>
          <w:p w14:paraId="5E611EB6">
            <w:pPr>
              <w:pStyle w:val="4"/>
              <w:spacing w:before="78" w:line="360" w:lineRule="auto"/>
              <w:ind w:left="624" w:right="230"/>
              <w:jc w:val="both"/>
              <w:rPr>
                <w:rFonts w:ascii="Times New Roman" w:hAnsi="Times New Roman" w:cs="Times New Roman"/>
                <w:color w:val="auto"/>
                <w:sz w:val="24"/>
                <w:szCs w:val="21"/>
                <w:lang w:eastAsia="zh-CN"/>
              </w:rPr>
            </w:pPr>
          </w:p>
        </w:tc>
      </w:tr>
      <w:tr w14:paraId="18B2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8" w:type="dxa"/>
          </w:tcPr>
          <w:p w14:paraId="6ADD9CE7">
            <w:pPr>
              <w:spacing w:line="360" w:lineRule="auto"/>
              <w:jc w:val="both"/>
              <w:rPr>
                <w:rFonts w:hint="eastAsia" w:ascii="Times New Roman" w:hAnsi="Times New Roman" w:eastAsia="宋体" w:cs="Times New Roman"/>
                <w:color w:val="auto"/>
                <w:sz w:val="24"/>
                <w:szCs w:val="21"/>
                <w:lang w:eastAsia="zh-CN"/>
              </w:rPr>
            </w:pPr>
            <w:r>
              <w:rPr>
                <w:rFonts w:ascii="Times New Roman" w:hAnsi="Times New Roman" w:cs="Times New Roman"/>
                <w:color w:val="auto"/>
                <w:sz w:val="24"/>
                <w:szCs w:val="21"/>
              </w:rPr>
              <w:t>账号</w:t>
            </w:r>
            <w:r>
              <w:rPr>
                <w:rFonts w:hint="eastAsia" w:cs="Times New Roman"/>
                <w:color w:val="auto"/>
                <w:sz w:val="24"/>
                <w:szCs w:val="21"/>
                <w:lang w:eastAsia="zh-CN"/>
              </w:rPr>
              <w:t>：</w:t>
            </w:r>
          </w:p>
        </w:tc>
        <w:tc>
          <w:tcPr>
            <w:tcW w:w="4365" w:type="dxa"/>
          </w:tcPr>
          <w:p w14:paraId="3BD294BC">
            <w:pPr>
              <w:pStyle w:val="4"/>
              <w:spacing w:before="78" w:line="360" w:lineRule="auto"/>
              <w:ind w:left="0" w:right="230"/>
              <w:jc w:val="both"/>
              <w:rPr>
                <w:rFonts w:ascii="Times New Roman" w:hAnsi="Times New Roman" w:cs="Times New Roman"/>
                <w:color w:val="auto"/>
                <w:spacing w:val="-8"/>
                <w:lang w:eastAsia="zh-CN"/>
              </w:rPr>
            </w:pPr>
            <w:r>
              <w:rPr>
                <w:rFonts w:ascii="Times New Roman" w:hAnsi="Times New Roman" w:cs="Times New Roman"/>
                <w:color w:val="auto"/>
                <w:spacing w:val="-8"/>
                <w:lang w:eastAsia="zh-CN"/>
              </w:rPr>
              <w:t>账号：</w:t>
            </w:r>
          </w:p>
          <w:p w14:paraId="0C714A47">
            <w:pPr>
              <w:pStyle w:val="4"/>
              <w:spacing w:before="78" w:line="360" w:lineRule="auto"/>
              <w:ind w:left="0" w:right="230"/>
              <w:jc w:val="both"/>
              <w:rPr>
                <w:rFonts w:ascii="Times New Roman" w:hAnsi="Times New Roman" w:cs="Times New Roman"/>
                <w:color w:val="auto"/>
                <w:sz w:val="24"/>
                <w:szCs w:val="21"/>
              </w:rPr>
            </w:pPr>
          </w:p>
        </w:tc>
      </w:tr>
    </w:tbl>
    <w:p w14:paraId="3681D4C6">
      <w:pPr>
        <w:spacing w:line="36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D3F41"/>
    <w:rsid w:val="002B6C8E"/>
    <w:rsid w:val="02563143"/>
    <w:rsid w:val="06F20C75"/>
    <w:rsid w:val="2268661C"/>
    <w:rsid w:val="32C4038E"/>
    <w:rsid w:val="364D3F41"/>
    <w:rsid w:val="6AA45961"/>
    <w:rsid w:val="7245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qFormat/>
    <w:uiPriority w:val="1"/>
    <w:pPr>
      <w:keepNext/>
      <w:keepLines/>
      <w:spacing w:before="340" w:after="330" w:line="560" w:lineRule="exact"/>
      <w:jc w:val="center"/>
      <w:outlineLvl w:val="0"/>
    </w:pPr>
    <w:rPr>
      <w:b/>
      <w:bCs/>
      <w:kern w:val="44"/>
      <w:sz w:val="36"/>
      <w:szCs w:val="44"/>
    </w:rPr>
  </w:style>
  <w:style w:type="paragraph" w:styleId="3">
    <w:name w:val="heading 2"/>
    <w:basedOn w:val="1"/>
    <w:next w:val="1"/>
    <w:link w:val="8"/>
    <w:semiHidden/>
    <w:unhideWhenUsed/>
    <w:qFormat/>
    <w:uiPriority w:val="0"/>
    <w:pPr>
      <w:kinsoku w:val="0"/>
      <w:autoSpaceDE w:val="0"/>
      <w:autoSpaceDN w:val="0"/>
      <w:adjustRightInd w:val="0"/>
      <w:snapToGrid w:val="0"/>
      <w:jc w:val="center"/>
      <w:textAlignment w:val="baseline"/>
      <w:outlineLvl w:val="1"/>
    </w:pPr>
    <w:rPr>
      <w:rFonts w:ascii="宋体" w:hAnsi="宋体" w:eastAsia="宋体" w:cs="宋体"/>
      <w:b/>
      <w:bCs/>
      <w:sz w:val="28"/>
      <w:highlight w:val="none"/>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rPr>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2 Char"/>
    <w:link w:val="3"/>
    <w:qFormat/>
    <w:uiPriority w:val="0"/>
    <w:rPr>
      <w:rFonts w:ascii="宋体" w:hAnsi="宋体" w:eastAsia="宋体" w:cs="宋体"/>
      <w:b/>
      <w:bCs/>
      <w:kern w:val="2"/>
      <w:sz w:val="28"/>
      <w:szCs w:val="24"/>
      <w:highlight w:val="none"/>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3421</Words>
  <Characters>3710</Characters>
  <Lines>0</Lines>
  <Paragraphs>0</Paragraphs>
  <TotalTime>2</TotalTime>
  <ScaleCrop>false</ScaleCrop>
  <LinksUpToDate>false</LinksUpToDate>
  <CharactersWithSpaces>3867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2025-08-29T06:16:00Z</dcterms:created>
  <dc:creator>彤Tion</dc:creator>
  <cp:lastModifiedBy>WPS_1481262899</cp:lastModifiedBy>
  <dcterms:modified xsi:type="dcterms:W3CDTF">2025-08-29T09:09:26Z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E08A56C75B7E49338E5AF8DA4DB80087_11</vt:lpwstr>
  </property>
  <property fmtid="{D5CDD505-2E9C-101B-9397-08002B2CF9AE}" pid="4" name="KSOTemplateDocerSaveRecord">
    <vt:lpwstr>eyJoZGlkIjoiNWExODBkYTBmMGIyM2I5MDk3OTc3OTgzZDViNjJkZWIiLCJ1c2VySWQiOiIyNTU3MTg0MDEifQ==</vt:lpwstr>
  </property>
</Properties>
</file>