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版本号：HRPD-ZFCG-2025-00920250808001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2025年富平县淡村镇湾渡村柿饼加工厂建设项目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HRPD-ZFCG-2025-009</w:t>
      </w:r>
      <w:r>
        <w:br/>
      </w:r>
      <w:r>
        <w:br/>
      </w:r>
      <w:r>
        <w:br/>
      </w:r>
    </w:p>
    <w:p>
      <w:pPr>
        <w:pStyle w:val="null3"/>
        <w:jc w:val="center"/>
        <w:outlineLvl w:val="2"/>
      </w:pPr>
      <w:r>
        <w:rPr>
          <w:rFonts w:ascii="仿宋_GB2312" w:hAnsi="仿宋_GB2312" w:cs="仿宋_GB2312" w:eastAsia="仿宋_GB2312"/>
          <w:sz w:val="28"/>
          <w:b/>
        </w:rPr>
        <w:t>富平县淡村镇人民政府（本级）</w:t>
      </w:r>
    </w:p>
    <w:p>
      <w:pPr>
        <w:pStyle w:val="null3"/>
        <w:jc w:val="center"/>
        <w:outlineLvl w:val="2"/>
      </w:pPr>
      <w:r>
        <w:rPr>
          <w:rFonts w:ascii="仿宋_GB2312" w:hAnsi="仿宋_GB2312" w:cs="仿宋_GB2312" w:eastAsia="仿宋_GB2312"/>
          <w:sz w:val="28"/>
          <w:b/>
        </w:rPr>
        <w:t>宏睿鹏达项目管理有限公司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宏睿鹏达项目管理有限公司</w:t>
      </w:r>
      <w:r>
        <w:rPr>
          <w:rFonts w:ascii="仿宋_GB2312" w:hAnsi="仿宋_GB2312" w:cs="仿宋_GB2312" w:eastAsia="仿宋_GB2312"/>
        </w:rPr>
        <w:t>（以下简称“代理机构”）受</w:t>
      </w:r>
      <w:r>
        <w:rPr>
          <w:rFonts w:ascii="仿宋_GB2312" w:hAnsi="仿宋_GB2312" w:cs="仿宋_GB2312" w:eastAsia="仿宋_GB2312"/>
        </w:rPr>
        <w:t>富平县淡村镇人民政府（本级）</w:t>
      </w:r>
      <w:r>
        <w:rPr>
          <w:rFonts w:ascii="仿宋_GB2312" w:hAnsi="仿宋_GB2312" w:cs="仿宋_GB2312" w:eastAsia="仿宋_GB2312"/>
        </w:rPr>
        <w:t>委托，拟对</w:t>
      </w:r>
      <w:r>
        <w:rPr>
          <w:rFonts w:ascii="仿宋_GB2312" w:hAnsi="仿宋_GB2312" w:cs="仿宋_GB2312" w:eastAsia="仿宋_GB2312"/>
        </w:rPr>
        <w:t>2025年富平县淡村镇湾渡村柿饼加工厂建设项目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HRPD-ZFCG-2025-009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2025年富平县淡村镇湾渡村柿饼加工厂建设项目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购置冻库1座、空气烘干房2座，新建彩钢厂房300㎡。</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采购包1（2025年富平县淡村镇湾渡村柿饼加工厂建设项目）：属于专门面向中小企业采购。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具有独立承担民事责任的能力：供应商应具有独立承担民事责任的能力且具备向采购人提供相关工程的企业法人、其他组织或者自然人，企业法人应提供统一社会信用代码的营业执照；其他组织应提供合法证明文件；自然人提供身份证明文件；供应商需在项目电子化交易系统中按要求上传相应证明文件并进行电子签章。</w:t>
      </w:r>
    </w:p>
    <w:p>
      <w:pPr>
        <w:pStyle w:val="null3"/>
      </w:pPr>
      <w:r>
        <w:rPr>
          <w:rFonts w:ascii="仿宋_GB2312" w:hAnsi="仿宋_GB2312" w:cs="仿宋_GB2312" w:eastAsia="仿宋_GB2312"/>
        </w:rPr>
        <w:t>2、供应商应授权合法的人员参加磋商全过程：法定代表人授权委托书（附法定代表人身份证复印件）及被授权委托人身份证（法定代表人参加磋商须提供法定代表人身份证）；供应商需在项目电子化交易系统中按要求上传相应证明文件并进行电子签章。</w:t>
      </w:r>
    </w:p>
    <w:p>
      <w:pPr>
        <w:pStyle w:val="null3"/>
      </w:pPr>
      <w:r>
        <w:rPr>
          <w:rFonts w:ascii="仿宋_GB2312" w:hAnsi="仿宋_GB2312" w:cs="仿宋_GB2312" w:eastAsia="仿宋_GB2312"/>
        </w:rPr>
        <w:t>3、供应商具有依法缴纳税收和社会保障资金的良好记录：提供2025 年以来任意 1 个月依法缴纳税收和社会保障资金的相关材料，依法免税的供应商应具有税务部门出具的证明文件；依法不需要缴纳社会保障金的供应商，需具有社保部门出具的证明文件；供应商需在项目电子化交易系统中按要求上传相应证明文件并进行电子签章。</w:t>
      </w:r>
    </w:p>
    <w:p>
      <w:pPr>
        <w:pStyle w:val="null3"/>
      </w:pPr>
      <w:r>
        <w:rPr>
          <w:rFonts w:ascii="仿宋_GB2312" w:hAnsi="仿宋_GB2312" w:cs="仿宋_GB2312" w:eastAsia="仿宋_GB2312"/>
        </w:rPr>
        <w:t>4、供应商具有良好的商业信誉和健全的财务会计制度：提供2023年度或2024年度财务审计报告或磋商前3个月内供应商基本账户银行出具的资信证明；供应商需在项目电子化交易系统中按要求上传相应证明文件并进行电子签章。</w:t>
      </w:r>
    </w:p>
    <w:p>
      <w:pPr>
        <w:pStyle w:val="null3"/>
      </w:pPr>
      <w:r>
        <w:rPr>
          <w:rFonts w:ascii="仿宋_GB2312" w:hAnsi="仿宋_GB2312" w:cs="仿宋_GB2312" w:eastAsia="仿宋_GB2312"/>
        </w:rPr>
        <w:t>5、供应商具有履行合同所必需的设备和专业技术能力：具有履行合同所必需的设备和专业技术能力的声明；供应商需在项目电子化交易系统中按要求上传相应证明文件并进行电子签章。</w:t>
      </w:r>
    </w:p>
    <w:p>
      <w:pPr>
        <w:pStyle w:val="null3"/>
      </w:pPr>
      <w:r>
        <w:rPr>
          <w:rFonts w:ascii="仿宋_GB2312" w:hAnsi="仿宋_GB2312" w:cs="仿宋_GB2312" w:eastAsia="仿宋_GB2312"/>
        </w:rPr>
        <w:t>6、资质证书：需具有建设行政主管部门核发的建筑工程施工总承包三级及以上或钢结构工程专业承包三级及以上资质；并具有建设行政主管部门核发有效的安全生产许可证。</w:t>
      </w:r>
    </w:p>
    <w:p>
      <w:pPr>
        <w:pStyle w:val="null3"/>
      </w:pPr>
      <w:r>
        <w:rPr>
          <w:rFonts w:ascii="仿宋_GB2312" w:hAnsi="仿宋_GB2312" w:cs="仿宋_GB2312" w:eastAsia="仿宋_GB2312"/>
        </w:rPr>
        <w:t>7、项目经理：项目经理需具备建筑工程注册建造师二级及以上注册建造师资格和有效的安全生产考核合格证书；（可提供证书复印件或有可识别的二维码证书复印件并加盖公章），且无在建工程（须提供无在建工程的相关证明材料或承诺书）；供应商需在项目电子化交易系统中按要求上传相应证明文件并进行电子签章。</w:t>
      </w:r>
    </w:p>
    <w:p>
      <w:pPr>
        <w:pStyle w:val="null3"/>
      </w:pPr>
      <w:r>
        <w:rPr>
          <w:rFonts w:ascii="仿宋_GB2312" w:hAnsi="仿宋_GB2312" w:cs="仿宋_GB2312" w:eastAsia="仿宋_GB2312"/>
        </w:rPr>
        <w:t>8、供应商参加政府采购活动前三年内在经营活动中没有重大违法记录：提供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9、信用信息：供应商应在投标截止日前未被列入失信被执行人、重大税收违法案件当事人名单、政府采购严重违法失信行为记录名单【处罚期限届满的除外（以“信用中国”网站（www.creditchina.gov.cn）查询结果为准）】；中国政府采购网（www.ccgp.gov.cn）提供政府采购严重违法失信行为记录名单（处罚期限届满的除外）网站截图并加盖单位公章；供应商需在项目电子化交易系统中按要求上传相应证明文件并进行电子签章。</w:t>
      </w:r>
    </w:p>
    <w:p>
      <w:pPr>
        <w:pStyle w:val="null3"/>
      </w:pPr>
      <w:r>
        <w:rPr>
          <w:rFonts w:ascii="仿宋_GB2312" w:hAnsi="仿宋_GB2312" w:cs="仿宋_GB2312" w:eastAsia="仿宋_GB2312"/>
        </w:rPr>
        <w:t>10、中小企业声明函：供应商为中小企业的，应提供《中小企业声明函》；供应商为残疾人福利性单位的，应提供《残疾人福利性单位声明函》；供应商为监狱企业的，应提供《监狱企业证明函》；供应商需在项目电子化交易系统中按要求上传相应证明文件并进行电子签章。</w:t>
      </w:r>
    </w:p>
    <w:p>
      <w:pPr>
        <w:pStyle w:val="null3"/>
      </w:pPr>
      <w:r>
        <w:rPr>
          <w:rFonts w:ascii="仿宋_GB2312" w:hAnsi="仿宋_GB2312" w:cs="仿宋_GB2312" w:eastAsia="仿宋_GB2312"/>
        </w:rPr>
        <w:t>11、磋商保证金：提供磋商保证金交纳凭证；供应商需在项目电子化交易系统中按要求上传相应证明文件并进行电子签章。</w:t>
      </w:r>
    </w:p>
    <w:p>
      <w:pPr>
        <w:pStyle w:val="null3"/>
      </w:pPr>
      <w:r>
        <w:rPr>
          <w:rFonts w:ascii="仿宋_GB2312" w:hAnsi="仿宋_GB2312" w:cs="仿宋_GB2312" w:eastAsia="仿宋_GB2312"/>
        </w:rPr>
        <w:t>12、非联合体磋商：非联合体磋商声明;供应商需在项目电子化交易系统中按要求上传相应证明文件并进行电子签章。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富平县淡村镇人民政府（本级）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陕西省渭南市富平县淡村镇街道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711713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陈星星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0913-8910001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宏睿鹏达项目管理有限公司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陕西省西安市雁塔区陕西省西安市雁塔区雁翔路99号博源科技广场C座西交一八九六孵化器2046号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井红艳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15511636505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开户名称：宏睿鹏达项目管理有限公司富平分公司</w:t>
            </w:r>
          </w:p>
          <w:p>
            <w:pPr>
              <w:pStyle w:val="null3"/>
            </w:pPr>
            <w:r>
              <w:rPr>
                <w:rFonts w:ascii="仿宋_GB2312" w:hAnsi="仿宋_GB2312" w:cs="仿宋_GB2312" w:eastAsia="仿宋_GB2312"/>
              </w:rPr>
              <w:t>开户银行：中国建设银行股份有限公司富平县东新街支行</w:t>
            </w:r>
          </w:p>
          <w:p>
            <w:pPr>
              <w:pStyle w:val="null3"/>
            </w:pPr>
            <w:r>
              <w:rPr>
                <w:rFonts w:ascii="仿宋_GB2312" w:hAnsi="仿宋_GB2312" w:cs="仿宋_GB2312" w:eastAsia="仿宋_GB2312"/>
              </w:rPr>
              <w:t>银行账号：61050164831500002163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费参照国家计委关于印发《招标代理服务收费管理暂行办法》的通知(计价格(2002)1980号)、《国家发展和改革委员会办公厅关于招标代理服务收费有关问题的通知》(发改办价格(2003)857号)文件规定，代理服务费优惠后按中标价格的6‰收取，编制标底费按（陕价行发〔2014〕88号文件）计算收取；在领取成交通知书时向采购代理机构一次付清(现金或转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富平县淡村镇人民政府（本级）</w:t>
      </w:r>
      <w:r>
        <w:rPr>
          <w:rFonts w:ascii="仿宋_GB2312" w:hAnsi="仿宋_GB2312" w:cs="仿宋_GB2312" w:eastAsia="仿宋_GB2312"/>
        </w:rPr>
        <w:t>和</w:t>
      </w:r>
      <w:r>
        <w:rPr>
          <w:rFonts w:ascii="仿宋_GB2312" w:hAnsi="仿宋_GB2312" w:cs="仿宋_GB2312" w:eastAsia="仿宋_GB2312"/>
        </w:rPr>
        <w:t>宏睿鹏达项目管理有限公司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富平县淡村镇人民政府（本级）</w:t>
      </w:r>
      <w:r>
        <w:rPr>
          <w:rFonts w:ascii="仿宋_GB2312" w:hAnsi="仿宋_GB2312" w:cs="仿宋_GB2312" w:eastAsia="仿宋_GB2312"/>
        </w:rPr>
        <w:t>负责解释。除上述磋商文件内容，其他内容由</w:t>
      </w:r>
      <w:r>
        <w:rPr>
          <w:rFonts w:ascii="仿宋_GB2312" w:hAnsi="仿宋_GB2312" w:cs="仿宋_GB2312" w:eastAsia="仿宋_GB2312"/>
        </w:rPr>
        <w:t>宏睿鹏达项目管理有限公司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富平县淡村镇人民政府（本级）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宏睿鹏达项目管理有限公司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联系人：井红艳</w:t>
      </w:r>
    </w:p>
    <w:p>
      <w:pPr>
        <w:pStyle w:val="null3"/>
      </w:pPr>
      <w:r>
        <w:rPr>
          <w:rFonts w:ascii="仿宋_GB2312" w:hAnsi="仿宋_GB2312" w:cs="仿宋_GB2312" w:eastAsia="仿宋_GB2312"/>
        </w:rPr>
        <w:t>联系电话：15511636505</w:t>
      </w:r>
    </w:p>
    <w:p>
      <w:pPr>
        <w:pStyle w:val="null3"/>
      </w:pPr>
      <w:r>
        <w:rPr>
          <w:rFonts w:ascii="仿宋_GB2312" w:hAnsi="仿宋_GB2312" w:cs="仿宋_GB2312" w:eastAsia="仿宋_GB2312"/>
        </w:rPr>
        <w:t>地址：陕西省渭南市富平县频阳大道云创大厦811室</w:t>
      </w:r>
    </w:p>
    <w:p>
      <w:pPr>
        <w:pStyle w:val="null3"/>
      </w:pPr>
      <w:r>
        <w:rPr>
          <w:rFonts w:ascii="仿宋_GB2312" w:hAnsi="仿宋_GB2312" w:cs="仿宋_GB2312" w:eastAsia="仿宋_GB2312"/>
        </w:rPr>
        <w:t>邮编：711700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696,253.26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2025年富平县淡村镇湾渡村柿饼加工厂建设项目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标的名称：2025年富平县淡村镇湾渡村柿饼加工厂建设项目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一、项目概况</w:t>
            </w:r>
            <w:r>
              <w:br/>
            </w:r>
            <w:r>
              <w:rPr>
                <w:rFonts w:ascii="仿宋_GB2312" w:hAnsi="仿宋_GB2312" w:cs="仿宋_GB2312" w:eastAsia="仿宋_GB2312"/>
                <w:sz w:val="21"/>
              </w:rPr>
              <w:t>购置冻库1座、空气烘干房2座，新建彩钢厂房300㎡等。</w:t>
            </w:r>
            <w:r>
              <w:br/>
            </w:r>
            <w:r>
              <w:rPr>
                <w:rFonts w:ascii="仿宋_GB2312" w:hAnsi="仿宋_GB2312" w:cs="仿宋_GB2312" w:eastAsia="仿宋_GB2312"/>
                <w:sz w:val="21"/>
              </w:rPr>
              <w:t xml:space="preserve"> </w:t>
            </w:r>
            <w:r>
              <w:rPr>
                <w:rFonts w:ascii="仿宋_GB2312" w:hAnsi="仿宋_GB2312" w:cs="仿宋_GB2312" w:eastAsia="仿宋_GB2312"/>
                <w:sz w:val="21"/>
              </w:rPr>
              <w:t>二、实施地点：采购人指定地点</w:t>
            </w:r>
            <w:r>
              <w:br/>
            </w:r>
            <w:r>
              <w:rPr>
                <w:rFonts w:ascii="仿宋_GB2312" w:hAnsi="仿宋_GB2312" w:cs="仿宋_GB2312" w:eastAsia="仿宋_GB2312"/>
                <w:sz w:val="21"/>
              </w:rPr>
              <w:t xml:space="preserve"> </w:t>
            </w:r>
            <w:r>
              <w:rPr>
                <w:rFonts w:ascii="仿宋_GB2312" w:hAnsi="仿宋_GB2312" w:cs="仿宋_GB2312" w:eastAsia="仿宋_GB2312"/>
                <w:sz w:val="21"/>
              </w:rPr>
              <w:t>三、项目要求：</w:t>
            </w:r>
            <w:r>
              <w:br/>
            </w:r>
            <w:r>
              <w:rPr>
                <w:rFonts w:ascii="仿宋_GB2312" w:hAnsi="仿宋_GB2312" w:cs="仿宋_GB2312" w:eastAsia="仿宋_GB2312"/>
                <w:sz w:val="21"/>
              </w:rPr>
              <w:t xml:space="preserve"> 1.工程质量目标:达到国家现行施工验收规范“合格”标准。</w:t>
            </w:r>
            <w:r>
              <w:br/>
            </w:r>
            <w:r>
              <w:rPr>
                <w:rFonts w:ascii="仿宋_GB2312" w:hAnsi="仿宋_GB2312" w:cs="仿宋_GB2312" w:eastAsia="仿宋_GB2312"/>
                <w:sz w:val="21"/>
              </w:rPr>
              <w:t xml:space="preserve"> 2.文明施工:安全文明施工工地。</w:t>
            </w:r>
            <w:r>
              <w:br/>
            </w:r>
            <w:r>
              <w:rPr>
                <w:rFonts w:ascii="仿宋_GB2312" w:hAnsi="仿宋_GB2312" w:cs="仿宋_GB2312" w:eastAsia="仿宋_GB2312"/>
                <w:sz w:val="21"/>
              </w:rPr>
              <w:t xml:space="preserve"> </w:t>
            </w:r>
            <w:r>
              <w:rPr>
                <w:rFonts w:ascii="仿宋_GB2312" w:hAnsi="仿宋_GB2312" w:cs="仿宋_GB2312" w:eastAsia="仿宋_GB2312"/>
                <w:sz w:val="21"/>
              </w:rPr>
              <w:t>四、工期：</w:t>
            </w:r>
            <w:r>
              <w:br/>
            </w:r>
            <w:r>
              <w:rPr>
                <w:rFonts w:ascii="仿宋_GB2312" w:hAnsi="仿宋_GB2312" w:cs="仿宋_GB2312" w:eastAsia="仿宋_GB2312"/>
                <w:sz w:val="21"/>
              </w:rPr>
              <w:t xml:space="preserve"> </w:t>
            </w:r>
            <w:r>
              <w:rPr>
                <w:rFonts w:ascii="仿宋_GB2312" w:hAnsi="仿宋_GB2312" w:cs="仿宋_GB2312" w:eastAsia="仿宋_GB2312"/>
                <w:sz w:val="21"/>
              </w:rPr>
              <w:t>工期：</w:t>
            </w:r>
            <w:r>
              <w:rPr>
                <w:rFonts w:ascii="仿宋_GB2312" w:hAnsi="仿宋_GB2312" w:cs="仿宋_GB2312" w:eastAsia="仿宋_GB2312"/>
                <w:sz w:val="21"/>
              </w:rPr>
              <w:t>45日历天（计划开、竣工日期以施工合同签订时间为准）。</w:t>
            </w:r>
            <w:r>
              <w:br/>
            </w:r>
            <w:r>
              <w:rPr>
                <w:rFonts w:ascii="仿宋_GB2312" w:hAnsi="仿宋_GB2312" w:cs="仿宋_GB2312" w:eastAsia="仿宋_GB2312"/>
                <w:sz w:val="21"/>
              </w:rPr>
              <w:t xml:space="preserve"> </w:t>
            </w:r>
            <w:r>
              <w:rPr>
                <w:rFonts w:ascii="仿宋_GB2312" w:hAnsi="仿宋_GB2312" w:cs="仿宋_GB2312" w:eastAsia="仿宋_GB2312"/>
                <w:sz w:val="21"/>
              </w:rPr>
              <w:t>五、安全要求</w:t>
            </w:r>
            <w:r>
              <w:br/>
            </w:r>
            <w:r>
              <w:rPr>
                <w:rFonts w:ascii="仿宋_GB2312" w:hAnsi="仿宋_GB2312" w:cs="仿宋_GB2312" w:eastAsia="仿宋_GB2312"/>
                <w:sz w:val="21"/>
              </w:rPr>
              <w:t xml:space="preserve"> </w:t>
            </w:r>
            <w:r>
              <w:rPr>
                <w:rFonts w:ascii="仿宋_GB2312" w:hAnsi="仿宋_GB2312" w:cs="仿宋_GB2312" w:eastAsia="仿宋_GB2312"/>
                <w:sz w:val="21"/>
              </w:rPr>
              <w:t>遵守工程建设安全生产有关管理规定，严格按安全标准组织施工，采取必要的安全生产措施，消除事故隐患。安全措施不力造成事故责任和发生的费用由成交供应商承担。</w:t>
            </w:r>
            <w:r>
              <w:br/>
            </w:r>
            <w:r>
              <w:rPr>
                <w:rFonts w:ascii="仿宋_GB2312" w:hAnsi="仿宋_GB2312" w:cs="仿宋_GB2312" w:eastAsia="仿宋_GB2312"/>
                <w:sz w:val="21"/>
              </w:rPr>
              <w:t xml:space="preserve"> </w:t>
            </w:r>
            <w:r>
              <w:rPr>
                <w:rFonts w:ascii="仿宋_GB2312" w:hAnsi="仿宋_GB2312" w:cs="仿宋_GB2312" w:eastAsia="仿宋_GB2312"/>
                <w:sz w:val="21"/>
              </w:rPr>
              <w:t>六、工程施工基本要求</w:t>
            </w:r>
            <w:r>
              <w:br/>
            </w:r>
            <w:r>
              <w:rPr>
                <w:rFonts w:ascii="仿宋_GB2312" w:hAnsi="仿宋_GB2312" w:cs="仿宋_GB2312" w:eastAsia="仿宋_GB2312"/>
                <w:sz w:val="21"/>
              </w:rPr>
              <w:t xml:space="preserve"> </w:t>
            </w:r>
            <w:r>
              <w:rPr>
                <w:rFonts w:ascii="仿宋_GB2312" w:hAnsi="仿宋_GB2312" w:cs="仿宋_GB2312" w:eastAsia="仿宋_GB2312"/>
                <w:sz w:val="21"/>
              </w:rPr>
              <w:t>严格按国家有关规定做到文明施工，规范施工，严格把好各道施工工序的质量，确保工程质量，并按要求如期完成工程建设，编制施工组织设计方案，确保工程按时优质完成，编制总进度计划，合理安排劳动力、物力、财力，尽量做到综合平衡配套施工，确保工程顺利完成。</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计划工期：45日历天(计划开、竣工日期以施工合同签订时间为准)；2、付款方式：施工合同签订后七日内付至合同价款的30%作为预付款，施工完成验收合格后付至合同价款的70%，待工程决算审计报告双方签字盖章认可后，付至审计价款的97%，剩余3%缺陷责任期满后一次性付清。</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1、投标时供应商无需提供纸质版响应文件。成交供应商在领取成交通知书前将纸质版响应文件正本1份、副本2份、电子版（U 盘）文件2份，打印盖章后提交至采购代理公司处，以便采购人进行留存备案等工作，成交供应商应保持响应文件纸质版内容与电子版内容完全一致，否则将承担一切法律责任。纸质版响应文件一律采用书籍（胶装）方式装订且单面或双面打印。2、落实政府采购政策需满足的资格要求：（1）《节能产品政府采购实施意见》（财库〔2004〕185号）；（2）《国务院办公厅关于建立政府强制采购节能产品制度的通知》（国办发〔2007〕51号）；（3）《财政部司法部关于政府采购支持监狱企业发展有关问题的通知》（财库〔2014〕68号）；（4）三部门联合发布《关于促进残疾人就业政府采购政策的通知》（财库〔2017〕141号）；（5）《财政部发展改革委生态环境部市场监管总局关于调整优化节能产品、环境标志产品政府采购执行机制的通知》（财库〔2019〕9号）；（6）陕西省财政厅关于印发《陕西省中小企业政府采购信用融资办法》 （陕财办采〔2018〕23号）；（7）《陕西省财政厅关于加快推进我省中小企业政府采购信用融资工作的通知》（陕财办采〔2020〕15号）；（8）《政府采购促进中小企业发展管理办法》（财库〔2020〕46号）；（9）《关于进一步加大政府采购支持中小企业力度的通知》（财库〔2022〕19号）；（10）《财政部 农业农村部 国家乡村振兴局关于运用政府采购政策支持乡村产业振兴的通知》（财库〔2021〕19号）；（11）陕西省财政厅《关于进一步加强政府绿色采购有关问题的通知》（陕财办〔2021〕29号）；（12）《关于促进政府采购公平竞争优化营商环境的通知》（财库〔2019〕38号）；（13）《陕西省财政厅关于进一步落实政府采购支持中小企业相关政策的通知》（陕财办采〔2023〕3号）；（14）《陕西省财政厅关于进一步优化政府采购营商环境有关事项的通知》（陕财办采〔2023〕4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提供2023年度或2024年度财务审计报告或磋商前3个月内供应商基本账户银行出具的资信证明；供应商需在项目电子化交易系统中按要求上传相应证明文件并进行电子签章。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工程的企业法人、其他组织或者自然人，企业法人应提供统一社会信用代码的营业执照；其他组织应提供合法证明文件；自然人提供身份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法定代表人授权委托书（附法定代表人身份证复印件）及被授权委托人身份证（法定代表人参加磋商须提供法定代表人身份证）；供应商需在项目电子化交易系统中按要求上传相应证明文件并进行电子签章。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供应商具有依法缴纳税收和社会保障资金的良好记录</w:t>
            </w:r>
          </w:p>
        </w:tc>
        <w:tc>
          <w:tcPr>
            <w:tcW w:type="dxa" w:w="3322"/>
          </w:tcPr>
          <w:p>
            <w:pPr>
              <w:pStyle w:val="null3"/>
            </w:pPr>
            <w:r>
              <w:rPr>
                <w:rFonts w:ascii="仿宋_GB2312" w:hAnsi="仿宋_GB2312" w:cs="仿宋_GB2312" w:eastAsia="仿宋_GB2312"/>
              </w:rPr>
              <w:t>提供2025 年以来任意 1 个月依法缴纳税收和社会保障资金的相关材料，依法免税的供应商应具有税务部门出具的证明文件；依法不需要缴纳社会保障金的供应商，需具有社保部门出具的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供应商具有良好的商业信誉和健全的财务会计制度</w:t>
            </w:r>
          </w:p>
        </w:tc>
        <w:tc>
          <w:tcPr>
            <w:tcW w:type="dxa" w:w="3322"/>
          </w:tcPr>
          <w:p>
            <w:pPr>
              <w:pStyle w:val="null3"/>
            </w:pPr>
            <w:r>
              <w:rPr>
                <w:rFonts w:ascii="仿宋_GB2312" w:hAnsi="仿宋_GB2312" w:cs="仿宋_GB2312" w:eastAsia="仿宋_GB2312"/>
              </w:rPr>
              <w:t>提供2023年度或2024年度财务审计报告或磋商前3个月内供应商基本账户银行出具的资信证明；供应商需在项目电子化交易系统中按要求上传相应证明文件并进行电子签章。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具有履行合同所必需的设备和专业技术能力的声明；供应商需在项目电子化交易系统中按要求上传相应证明文件并进行电子签章。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需具有建设行政主管部门核发的建筑工程施工总承包三级及以上或钢结构工程专业承包三级及以上资质；并具有建设行政主管部门核发有效的安全生产许可证。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项目经理需具备建筑工程注册建造师二级及以上注册建造师资格和有效的安全生产考核合格证书；（可提供证书复印件或有可识别的二维码证书复印件并加盖公章），且无在建工程（须提供无在建工程的相关证明材料或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应在投标截止日前未被列入失信被执行人、重大税收违法案件当事人名单、政府采购严重违法失信行为记录名单【处罚期限届满的除外（以“信用中国”网站（www.creditchina.gov.cn）查询结果为准）】；中国政府采购网（www.ccgp.gov.cn）提供政府采购严重违法失信行为记录名单（处罚期限届满的除外）网站截图并加盖单位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供应商为中小企业的，应提供《中小企业声明函》；供应商为残疾人福利性单位的，应提供《残疾人福利性单位声明函》；供应商为监狱企业的，应提供《监狱企业证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提供磋商保证金交纳凭证；供应商需在项目电子化交易系统中按要求上传相应证明文件并进行电子签章。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非联合体磋商声明;供应商需在项目电子化交易系统中按要求上传相应证明文件并进行电子签章。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投标（响应）有效期</w:t>
            </w:r>
          </w:p>
        </w:tc>
        <w:tc>
          <w:tcPr>
            <w:tcW w:type="dxa" w:w="3322"/>
          </w:tcPr>
          <w:p>
            <w:pPr>
              <w:pStyle w:val="null3"/>
            </w:pPr>
            <w:r>
              <w:rPr>
                <w:rFonts w:ascii="仿宋_GB2312" w:hAnsi="仿宋_GB2312" w:cs="仿宋_GB2312" w:eastAsia="仿宋_GB2312"/>
              </w:rPr>
              <w:t>投标（响应）有效期满足磋商文件的要求</w:t>
            </w:r>
          </w:p>
        </w:tc>
        <w:tc>
          <w:tcPr>
            <w:tcW w:type="dxa" w:w="1661"/>
          </w:tcPr>
          <w:p>
            <w:pPr>
              <w:pStyle w:val="null3"/>
            </w:pPr>
            <w:r>
              <w:rPr>
                <w:rFonts w:ascii="仿宋_GB2312" w:hAnsi="仿宋_GB2312" w:cs="仿宋_GB2312" w:eastAsia="仿宋_GB2312"/>
              </w:rPr>
              <w:t>报价函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响应文件签字和盖章满足磋商文件的要求</w:t>
            </w:r>
          </w:p>
        </w:tc>
        <w:tc>
          <w:tcPr>
            <w:tcW w:type="dxa" w:w="1661"/>
          </w:tcPr>
          <w:p>
            <w:pPr>
              <w:pStyle w:val="null3"/>
            </w:pPr>
            <w:r>
              <w:rPr>
                <w:rFonts w:ascii="仿宋_GB2312" w:hAnsi="仿宋_GB2312" w:cs="仿宋_GB2312" w:eastAsia="仿宋_GB2312"/>
              </w:rPr>
              <w:t>报价一览表.docx 已标价工程量清单 技术服务合同条款及其他商务要求应答表.docx 中小企业声明函 承诺书.docx 业绩证明文件.docx 资格证明文件.docx 响应文件封面 残疾人福利性单位声明函 报价函 标的清单 响应函 监狱企业的证明文件 技术标.docx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供应商磋商报价未超出最高限价</w:t>
            </w:r>
          </w:p>
        </w:tc>
        <w:tc>
          <w:tcPr>
            <w:tcW w:type="dxa" w:w="1661"/>
          </w:tcPr>
          <w:p>
            <w:pPr>
              <w:pStyle w:val="null3"/>
            </w:pPr>
            <w:r>
              <w:rPr>
                <w:rFonts w:ascii="仿宋_GB2312" w:hAnsi="仿宋_GB2312" w:cs="仿宋_GB2312" w:eastAsia="仿宋_GB2312"/>
              </w:rPr>
              <w:t>报价一览表.docx 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工期满足或优于采购要求</w:t>
            </w:r>
          </w:p>
        </w:tc>
        <w:tc>
          <w:tcPr>
            <w:tcW w:type="dxa" w:w="1661"/>
          </w:tcPr>
          <w:p>
            <w:pPr>
              <w:pStyle w:val="null3"/>
            </w:pPr>
            <w:r>
              <w:rPr>
                <w:rFonts w:ascii="仿宋_GB2312" w:hAnsi="仿宋_GB2312" w:cs="仿宋_GB2312" w:eastAsia="仿宋_GB2312"/>
              </w:rPr>
              <w:t>报价一览表.docx 技术服务合同条款及其他商务要求应答表.docx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响应文件中对合同草案条款未附加采购人难以接受的条件</w:t>
            </w:r>
          </w:p>
        </w:tc>
        <w:tc>
          <w:tcPr>
            <w:tcW w:type="dxa" w:w="1661"/>
          </w:tcPr>
          <w:p>
            <w:pPr>
              <w:pStyle w:val="null3"/>
            </w:pPr>
            <w:r>
              <w:rPr>
                <w:rFonts w:ascii="仿宋_GB2312" w:hAnsi="仿宋_GB2312" w:cs="仿宋_GB2312" w:eastAsia="仿宋_GB2312"/>
              </w:rPr>
              <w:t>技术服务合同条款及其他商务要求应答表.docx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质量标准满足磋商文件要求</w:t>
            </w:r>
          </w:p>
        </w:tc>
        <w:tc>
          <w:tcPr>
            <w:tcW w:type="dxa" w:w="1661"/>
          </w:tcPr>
          <w:p>
            <w:pPr>
              <w:pStyle w:val="null3"/>
            </w:pPr>
            <w:r>
              <w:rPr>
                <w:rFonts w:ascii="仿宋_GB2312" w:hAnsi="仿宋_GB2312" w:cs="仿宋_GB2312" w:eastAsia="仿宋_GB2312"/>
              </w:rPr>
              <w:t>报价一览表.docx 技术服务合同条款及其他商务要求应答表.docx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①措施科学合理，针对性强且内容详细，得5.1-7分； ②措施基本科学合理，内容基本完整，得3.1-5分； ③内容粗略、欠佳，得0-3分； ④未提供不得分。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①措施科学合理，针对性强且内容详细，得5.1-7分； ②措施基本科学合理，内容基本完整，得3.1-5分； ③内容粗略、欠佳，得0-3分； ④未提供不得分。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确保文明施工、环境保护的技术组织措施</w:t>
            </w:r>
          </w:p>
        </w:tc>
        <w:tc>
          <w:tcPr>
            <w:tcW w:type="dxa" w:w="2492"/>
          </w:tcPr>
          <w:p>
            <w:pPr>
              <w:pStyle w:val="null3"/>
            </w:pPr>
            <w:r>
              <w:rPr>
                <w:rFonts w:ascii="仿宋_GB2312" w:hAnsi="仿宋_GB2312" w:cs="仿宋_GB2312" w:eastAsia="仿宋_GB2312"/>
              </w:rPr>
              <w:t>①措施科学合理，针对性强且内容详细，得5.1-7分； ②措施基本科学合理，内容基本完整，得3.1-5分； ③内容粗略、欠佳，得0-3分； ④未提供不得分。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确保工期的技术组织措施及施工进度计划</w:t>
            </w:r>
          </w:p>
        </w:tc>
        <w:tc>
          <w:tcPr>
            <w:tcW w:type="dxa" w:w="2492"/>
          </w:tcPr>
          <w:p>
            <w:pPr>
              <w:pStyle w:val="null3"/>
            </w:pPr>
            <w:r>
              <w:rPr>
                <w:rFonts w:ascii="仿宋_GB2312" w:hAnsi="仿宋_GB2312" w:cs="仿宋_GB2312" w:eastAsia="仿宋_GB2312"/>
              </w:rPr>
              <w:t>①措施科学合理，针对性强且内容详细，得5.1-7分； ②措施基本科学合理，内容基本完整，得3.1-5分； ③内容粗略、欠佳，得0-3分； ④未提供不得分。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①方案科学合理，针对性强且内容详细，得8.1-10分； ②方案科学合理，内容基本完整得4.1- 8 分； ③方案内容基本可行，得2.1-4分； ④内容粗略、欠佳，得0-2分； ⑤未提供不得分。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主要施工设备及劳动力计划</w:t>
            </w:r>
          </w:p>
        </w:tc>
        <w:tc>
          <w:tcPr>
            <w:tcW w:type="dxa" w:w="2492"/>
          </w:tcPr>
          <w:p>
            <w:pPr>
              <w:pStyle w:val="null3"/>
            </w:pPr>
            <w:r>
              <w:rPr>
                <w:rFonts w:ascii="仿宋_GB2312" w:hAnsi="仿宋_GB2312" w:cs="仿宋_GB2312" w:eastAsia="仿宋_GB2312"/>
              </w:rPr>
              <w:t>①计划安排科学合理，针对性强且内容详细，得5.1-7分 ； ②计划安排基本科学合理，内容基本完整，得3.1-5分； ③内容粗略、欠佳，得0-3分； ④未提供不得分。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企业类似业绩</w:t>
            </w:r>
          </w:p>
        </w:tc>
        <w:tc>
          <w:tcPr>
            <w:tcW w:type="dxa" w:w="2492"/>
          </w:tcPr>
          <w:p>
            <w:pPr>
              <w:pStyle w:val="null3"/>
            </w:pPr>
            <w:r>
              <w:rPr>
                <w:rFonts w:ascii="仿宋_GB2312" w:hAnsi="仿宋_GB2312" w:cs="仿宋_GB2312" w:eastAsia="仿宋_GB2312"/>
              </w:rPr>
              <w:t>2022年06月至今完成的类似业绩，一项得1.5分，最多得3分。（注：以上证明文件在磋商响应文件中附业绩合同扫描件并加盖公章）；未提供不得分。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业绩证明文件.docx</w:t>
            </w:r>
          </w:p>
        </w:tc>
      </w:tr>
      <w:tr>
        <w:tc>
          <w:tcPr>
            <w:tcW w:type="dxa" w:w="831"/>
            <w:vMerge/>
          </w:tcPr>
          <w:p/>
        </w:tc>
        <w:tc>
          <w:tcPr>
            <w:tcW w:type="dxa" w:w="1661"/>
          </w:tcPr>
          <w:p>
            <w:pPr>
              <w:pStyle w:val="null3"/>
            </w:pPr>
            <w:r>
              <w:rPr>
                <w:rFonts w:ascii="仿宋_GB2312" w:hAnsi="仿宋_GB2312" w:cs="仿宋_GB2312" w:eastAsia="仿宋_GB2312"/>
              </w:rPr>
              <w:t>承诺</w:t>
            </w:r>
          </w:p>
        </w:tc>
        <w:tc>
          <w:tcPr>
            <w:tcW w:type="dxa" w:w="2492"/>
          </w:tcPr>
          <w:p>
            <w:pPr>
              <w:pStyle w:val="null3"/>
            </w:pPr>
            <w:r>
              <w:rPr>
                <w:rFonts w:ascii="仿宋_GB2312" w:hAnsi="仿宋_GB2312" w:cs="仿宋_GB2312" w:eastAsia="仿宋_GB2312"/>
              </w:rPr>
              <w:t>根据供应商做出的承诺内容进行赋分： 编制内容详细、完整的得3.1-7分； 编制内容基本完整的得0-3分；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承诺书.docx</w:t>
            </w:r>
          </w:p>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项目组织机构</w:t>
            </w:r>
          </w:p>
        </w:tc>
        <w:tc>
          <w:tcPr>
            <w:tcW w:type="dxa" w:w="2492"/>
          </w:tcPr>
          <w:p>
            <w:pPr>
              <w:pStyle w:val="null3"/>
            </w:pPr>
            <w:r>
              <w:rPr>
                <w:rFonts w:ascii="仿宋_GB2312" w:hAnsi="仿宋_GB2312" w:cs="仿宋_GB2312" w:eastAsia="仿宋_GB2312"/>
              </w:rPr>
              <w:t>根据人员配置的齐全程度等综合评比得分，具有五大员上岗证书（安全员须具有安全生产考核合格证书）的一项得1分，最高得5分；未提供不得分。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报价最低的供应商的价格为磋商基准价，其价格分为满分。其他供应商的价格分统一按照下列公式计算：磋商报价得分=（磋商基准价/最后磋商报价)×价格权重（40%）×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报价一览表.docx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详见附件：技术标.docx</w:t>
      </w:r>
    </w:p>
    <w:p>
      <w:pPr>
        <w:pStyle w:val="null3"/>
        <w:ind w:firstLine="960"/>
      </w:pPr>
      <w:r>
        <w:rPr>
          <w:rFonts w:ascii="仿宋_GB2312" w:hAnsi="仿宋_GB2312" w:cs="仿宋_GB2312" w:eastAsia="仿宋_GB2312"/>
        </w:rPr>
        <w:t>详见附件：技术服务合同条款及其他商务要求应答表.docx</w:t>
      </w:r>
    </w:p>
    <w:p>
      <w:pPr>
        <w:pStyle w:val="null3"/>
        <w:ind w:firstLine="960"/>
      </w:pPr>
      <w:r>
        <w:rPr>
          <w:rFonts w:ascii="仿宋_GB2312" w:hAnsi="仿宋_GB2312" w:cs="仿宋_GB2312" w:eastAsia="仿宋_GB2312"/>
        </w:rPr>
        <w:t>详见附件：业绩证明文件.docx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