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版本号：JQ2025-ZFCG-01820250806001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留古镇大众村产业基础设施提升建设项目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JQ2025-ZFCG-018</w:t>
      </w:r>
      <w:r>
        <w:br/>
      </w:r>
      <w:r>
        <w:br/>
      </w:r>
      <w:r>
        <w:br/>
      </w:r>
    </w:p>
    <w:p>
      <w:pPr>
        <w:pStyle w:val="null3"/>
        <w:jc w:val="center"/>
        <w:outlineLvl w:val="2"/>
      </w:pPr>
      <w:r>
        <w:rPr>
          <w:rFonts w:ascii="仿宋_GB2312" w:hAnsi="仿宋_GB2312" w:cs="仿宋_GB2312" w:eastAsia="仿宋_GB2312"/>
          <w:sz w:val="28"/>
          <w:b/>
        </w:rPr>
        <w:t>富平县留古镇人民政府（本级）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富平县留古镇人民政府（本级）</w:t>
      </w:r>
      <w:r>
        <w:rPr>
          <w:rFonts w:ascii="仿宋_GB2312" w:hAnsi="仿宋_GB2312" w:cs="仿宋_GB2312" w:eastAsia="仿宋_GB2312"/>
        </w:rPr>
        <w:t>委托，拟对</w:t>
      </w:r>
      <w:r>
        <w:rPr>
          <w:rFonts w:ascii="仿宋_GB2312" w:hAnsi="仿宋_GB2312" w:cs="仿宋_GB2312" w:eastAsia="仿宋_GB2312"/>
        </w:rPr>
        <w:t>留古镇大众村产业基础设施提升建设项目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留古镇大众村产业基础设施提升建设项目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新建混凝土硬化产业路，新建灌溉渠，破除重修灌溉渠。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采购包1（留古镇大众村产业基础设施提升建设项目）：属于专门面向中小企业采购。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3、施工单位资质：需具有建设行政主管部门核发的市政公用工程施工总承包三级及以上资质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富平县留古镇人民政府（本级）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富平县由康路与张觅路交叉口西南140米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简浩飞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13609238339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富平县留古镇人民政府（本级）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富平县留古镇人民政府（本级）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富平县留古镇人民政府（本级）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2,751,402.74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硬化产业路，新建灌溉渠，破除重修灌溉渠。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标的名称：硬化产业路，新建灌溉渠，破除重修灌溉渠。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项目内容：</w:t>
            </w:r>
            <w:r>
              <w:rPr>
                <w:rFonts w:ascii="仿宋_GB2312" w:hAnsi="仿宋_GB2312" w:cs="仿宋_GB2312" w:eastAsia="仿宋_GB2312"/>
                <w:sz w:val="18"/>
              </w:rPr>
              <w:t>新建混凝土硬化产业路，新建灌溉渠，破除重修灌溉渠</w:t>
            </w:r>
            <w:r>
              <w:rPr>
                <w:rFonts w:ascii="仿宋_GB2312" w:hAnsi="仿宋_GB2312" w:cs="仿宋_GB2312" w:eastAsia="仿宋_GB2312"/>
                <w:sz w:val="18"/>
              </w:rPr>
              <w:t>（详见工程量清单）</w:t>
            </w:r>
          </w:p>
          <w:p>
            <w:pPr>
              <w:pStyle w:val="null3"/>
            </w:pPr>
            <w:r>
              <w:rPr>
                <w:rFonts w:ascii="仿宋_GB2312" w:hAnsi="仿宋_GB2312" w:cs="仿宋_GB2312" w:eastAsia="仿宋_GB2312"/>
                <w:sz w:val="18"/>
              </w:rPr>
              <w:t>工</w:t>
            </w:r>
            <w:r>
              <w:rPr>
                <w:rFonts w:ascii="仿宋_GB2312" w:hAnsi="仿宋_GB2312" w:cs="仿宋_GB2312" w:eastAsia="仿宋_GB2312"/>
                <w:sz w:val="18"/>
              </w:rPr>
              <w:t xml:space="preserve">  </w:t>
            </w:r>
            <w:r>
              <w:rPr>
                <w:rFonts w:ascii="仿宋_GB2312" w:hAnsi="仿宋_GB2312" w:cs="仿宋_GB2312" w:eastAsia="仿宋_GB2312"/>
                <w:sz w:val="18"/>
              </w:rPr>
              <w:t>期：</w:t>
            </w:r>
            <w:r>
              <w:rPr>
                <w:rFonts w:ascii="仿宋_GB2312" w:hAnsi="仿宋_GB2312" w:cs="仿宋_GB2312" w:eastAsia="仿宋_GB2312"/>
                <w:sz w:val="18"/>
              </w:rPr>
              <w:t>60日历天（具体起止日期以合同签订时间为准）</w:t>
            </w:r>
          </w:p>
          <w:p>
            <w:pPr>
              <w:pStyle w:val="null3"/>
            </w:pPr>
            <w:r>
              <w:rPr>
                <w:rFonts w:ascii="仿宋_GB2312" w:hAnsi="仿宋_GB2312" w:cs="仿宋_GB2312" w:eastAsia="仿宋_GB2312"/>
                <w:sz w:val="18"/>
              </w:rPr>
              <w:t>合同履约地点：甲方指定地点</w:t>
            </w:r>
          </w:p>
          <w:p>
            <w:pPr>
              <w:pStyle w:val="null3"/>
            </w:pPr>
            <w:r>
              <w:rPr>
                <w:rFonts w:ascii="仿宋_GB2312" w:hAnsi="仿宋_GB2312" w:cs="仿宋_GB2312" w:eastAsia="仿宋_GB2312"/>
                <w:sz w:val="18"/>
              </w:rPr>
              <w:t>工程质量：合格</w:t>
            </w:r>
          </w:p>
          <w:p>
            <w:pPr>
              <w:pStyle w:val="null3"/>
              <w:jc w:val="both"/>
            </w:pPr>
            <w:r>
              <w:rPr>
                <w:rFonts w:ascii="仿宋_GB2312" w:hAnsi="仿宋_GB2312" w:cs="仿宋_GB2312" w:eastAsia="仿宋_GB2312"/>
                <w:sz w:val="18"/>
              </w:rPr>
              <w:t>付款方式：</w:t>
            </w:r>
          </w:p>
          <w:p>
            <w:pPr>
              <w:pStyle w:val="null3"/>
            </w:pPr>
            <w:r>
              <w:rPr>
                <w:rFonts w:ascii="仿宋_GB2312" w:hAnsi="仿宋_GB2312" w:cs="仿宋_GB2312" w:eastAsia="仿宋_GB2312"/>
                <w:sz w:val="18"/>
              </w:rPr>
              <w:t>合同签订后，付款方式约定如下：</w:t>
            </w:r>
          </w:p>
          <w:p>
            <w:pPr>
              <w:pStyle w:val="null3"/>
            </w:pPr>
            <w:r>
              <w:rPr>
                <w:rFonts w:ascii="仿宋_GB2312" w:hAnsi="仿宋_GB2312" w:cs="仿宋_GB2312" w:eastAsia="仿宋_GB2312"/>
                <w:sz w:val="18"/>
              </w:rPr>
              <w:t xml:space="preserve">    1.    工程竣工验收合格，且工程决算审计报告经双方签字盖章确认后，支付至审定金额的97%；</w:t>
            </w:r>
          </w:p>
          <w:p>
            <w:pPr>
              <w:pStyle w:val="null3"/>
            </w:pPr>
            <w:r>
              <w:rPr>
                <w:rFonts w:ascii="仿宋_GB2312" w:hAnsi="仿宋_GB2312" w:cs="仿宋_GB2312" w:eastAsia="仿宋_GB2312"/>
                <w:sz w:val="18"/>
              </w:rPr>
              <w:t xml:space="preserve">    2.    剩余3%作为质量保证金，待缺陷责任期满后一次性付清。</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施工单位资质</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 类似 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