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5EB5C9">
      <w:pPr>
        <w:spacing w:line="360" w:lineRule="auto"/>
        <w:jc w:val="center"/>
        <w:outlineLvl w:val="0"/>
        <w:rPr>
          <w:rFonts w:hint="eastAsia" w:ascii="宋体" w:hAnsi="宋体" w:cs="宋体"/>
          <w:b/>
          <w:bCs/>
          <w:color w:val="auto"/>
          <w:sz w:val="30"/>
          <w:szCs w:val="24"/>
          <w:highlight w:val="none"/>
        </w:rPr>
      </w:pPr>
      <w:bookmarkStart w:id="0" w:name="_Toc5113"/>
      <w:bookmarkStart w:id="1" w:name="_Toc2910"/>
      <w:bookmarkStart w:id="2" w:name="_Toc5790"/>
    </w:p>
    <w:p w14:paraId="60FD7380">
      <w:pPr>
        <w:spacing w:line="360" w:lineRule="auto"/>
        <w:jc w:val="center"/>
        <w:outlineLvl w:val="0"/>
        <w:rPr>
          <w:rFonts w:ascii="宋体" w:hAnsi="宋体" w:cs="宋体"/>
          <w:b/>
          <w:bCs/>
          <w:color w:val="auto"/>
          <w:sz w:val="30"/>
          <w:szCs w:val="24"/>
          <w:highlight w:val="none"/>
        </w:rPr>
      </w:pPr>
      <w:r>
        <w:rPr>
          <w:rFonts w:hint="eastAsia" w:ascii="宋体" w:hAnsi="宋体" w:cs="宋体"/>
          <w:b/>
          <w:bCs/>
          <w:color w:val="auto"/>
          <w:sz w:val="30"/>
          <w:szCs w:val="24"/>
          <w:highlight w:val="none"/>
        </w:rPr>
        <w:t>政府采购合同（样例）</w:t>
      </w:r>
      <w:bookmarkEnd w:id="0"/>
      <w:bookmarkEnd w:id="1"/>
      <w:bookmarkEnd w:id="2"/>
    </w:p>
    <w:p w14:paraId="7D3232A6">
      <w:pPr>
        <w:spacing w:line="360" w:lineRule="auto"/>
        <w:jc w:val="center"/>
        <w:rPr>
          <w:rFonts w:ascii="宋体" w:hAnsi="宋体" w:cs="宋体"/>
          <w:b/>
          <w:color w:val="auto"/>
          <w:sz w:val="28"/>
          <w:szCs w:val="28"/>
          <w:highlight w:val="none"/>
        </w:rPr>
      </w:pPr>
    </w:p>
    <w:p w14:paraId="25039EC6">
      <w:pPr>
        <w:spacing w:line="360" w:lineRule="auto"/>
        <w:jc w:val="center"/>
        <w:rPr>
          <w:rFonts w:ascii="宋体" w:hAnsi="宋体" w:cs="宋体"/>
          <w:b/>
          <w:bCs/>
          <w:color w:val="auto"/>
          <w:sz w:val="28"/>
          <w:szCs w:val="28"/>
          <w:highlight w:val="none"/>
        </w:rPr>
      </w:pPr>
    </w:p>
    <w:p w14:paraId="7E259395">
      <w:pPr>
        <w:spacing w:line="360" w:lineRule="auto"/>
        <w:rPr>
          <w:rFonts w:ascii="宋体" w:hAnsi="宋体" w:cs="宋体"/>
          <w:b/>
          <w:color w:val="auto"/>
          <w:sz w:val="28"/>
          <w:szCs w:val="28"/>
          <w:highlight w:val="none"/>
        </w:rPr>
      </w:pPr>
    </w:p>
    <w:p w14:paraId="2B444A7D">
      <w:pPr>
        <w:spacing w:line="360" w:lineRule="auto"/>
        <w:rPr>
          <w:rFonts w:ascii="宋体" w:hAnsi="宋体" w:cs="宋体"/>
          <w:b/>
          <w:color w:val="auto"/>
          <w:sz w:val="28"/>
          <w:szCs w:val="28"/>
          <w:highlight w:val="none"/>
        </w:rPr>
      </w:pPr>
    </w:p>
    <w:p w14:paraId="1E54840A">
      <w:pPr>
        <w:spacing w:line="360" w:lineRule="auto"/>
        <w:jc w:val="center"/>
        <w:rPr>
          <w:rFonts w:ascii="宋体" w:hAnsi="宋体" w:cs="宋体"/>
          <w:b/>
          <w:color w:val="auto"/>
          <w:sz w:val="28"/>
          <w:szCs w:val="28"/>
          <w:highlight w:val="none"/>
        </w:rPr>
      </w:pPr>
      <w:r>
        <w:rPr>
          <w:rFonts w:hint="eastAsia" w:ascii="宋体" w:hAnsi="宋体" w:cs="宋体"/>
          <w:b/>
          <w:color w:val="auto"/>
          <w:sz w:val="28"/>
          <w:szCs w:val="28"/>
          <w:highlight w:val="none"/>
          <w:u w:val="single"/>
        </w:rPr>
        <w:t xml:space="preserve">                           </w:t>
      </w:r>
      <w:r>
        <w:rPr>
          <w:rFonts w:hint="eastAsia" w:ascii="宋体" w:hAnsi="宋体" w:cs="宋体"/>
          <w:b/>
          <w:color w:val="auto"/>
          <w:sz w:val="28"/>
          <w:szCs w:val="28"/>
          <w:highlight w:val="none"/>
        </w:rPr>
        <w:t>（</w:t>
      </w:r>
      <w:r>
        <w:rPr>
          <w:rFonts w:hint="eastAsia" w:ascii="宋体" w:hAnsi="宋体" w:cs="宋体"/>
          <w:b/>
          <w:color w:val="auto"/>
          <w:sz w:val="28"/>
          <w:szCs w:val="28"/>
          <w:highlight w:val="none"/>
          <w:lang w:val="en-US" w:eastAsia="zh-CN"/>
        </w:rPr>
        <w:t>项目</w:t>
      </w:r>
      <w:r>
        <w:rPr>
          <w:rFonts w:hint="eastAsia" w:ascii="宋体" w:hAnsi="宋体" w:cs="宋体"/>
          <w:b/>
          <w:color w:val="auto"/>
          <w:sz w:val="28"/>
          <w:szCs w:val="28"/>
          <w:highlight w:val="none"/>
          <w:lang w:eastAsia="zh-CN"/>
        </w:rPr>
        <w:t>名称</w:t>
      </w:r>
      <w:r>
        <w:rPr>
          <w:rFonts w:hint="eastAsia" w:ascii="宋体" w:hAnsi="宋体" w:cs="宋体"/>
          <w:b/>
          <w:color w:val="auto"/>
          <w:sz w:val="28"/>
          <w:szCs w:val="28"/>
          <w:highlight w:val="none"/>
        </w:rPr>
        <w:t>）</w:t>
      </w:r>
    </w:p>
    <w:p w14:paraId="627EFA6B">
      <w:pPr>
        <w:spacing w:line="360" w:lineRule="auto"/>
        <w:rPr>
          <w:rFonts w:ascii="宋体" w:hAnsi="宋体" w:cs="宋体"/>
          <w:b/>
          <w:color w:val="auto"/>
          <w:sz w:val="28"/>
          <w:szCs w:val="28"/>
          <w:highlight w:val="none"/>
        </w:rPr>
      </w:pPr>
    </w:p>
    <w:p w14:paraId="083C65A2">
      <w:pPr>
        <w:spacing w:line="360" w:lineRule="auto"/>
        <w:jc w:val="center"/>
        <w:rPr>
          <w:rFonts w:ascii="宋体" w:hAnsi="宋体" w:cs="宋体"/>
          <w:b/>
          <w:color w:val="auto"/>
          <w:sz w:val="28"/>
          <w:szCs w:val="28"/>
          <w:highlight w:val="none"/>
        </w:rPr>
      </w:pPr>
    </w:p>
    <w:p w14:paraId="5E1E6DDB">
      <w:pPr>
        <w:pStyle w:val="8"/>
        <w:rPr>
          <w:rFonts w:ascii="宋体" w:hAnsi="宋体" w:cs="宋体"/>
          <w:color w:val="auto"/>
          <w:highlight w:val="none"/>
        </w:rPr>
      </w:pPr>
    </w:p>
    <w:p w14:paraId="0E834762">
      <w:pPr>
        <w:spacing w:line="360" w:lineRule="auto"/>
        <w:rPr>
          <w:rFonts w:ascii="宋体" w:hAnsi="宋体" w:cs="宋体"/>
          <w:b/>
          <w:color w:val="auto"/>
          <w:sz w:val="28"/>
          <w:szCs w:val="28"/>
          <w:highlight w:val="none"/>
        </w:rPr>
      </w:pPr>
    </w:p>
    <w:p w14:paraId="55C3EE47">
      <w:pPr>
        <w:spacing w:line="360" w:lineRule="auto"/>
        <w:rPr>
          <w:rFonts w:ascii="宋体" w:hAnsi="宋体" w:cs="宋体"/>
          <w:b/>
          <w:color w:val="auto"/>
          <w:sz w:val="28"/>
          <w:szCs w:val="28"/>
          <w:highlight w:val="none"/>
        </w:rPr>
      </w:pPr>
    </w:p>
    <w:p w14:paraId="714AD46D">
      <w:pPr>
        <w:spacing w:line="360" w:lineRule="auto"/>
        <w:rPr>
          <w:rFonts w:ascii="宋体" w:hAnsi="宋体" w:cs="宋体"/>
          <w:b/>
          <w:color w:val="auto"/>
          <w:sz w:val="28"/>
          <w:szCs w:val="28"/>
          <w:highlight w:val="none"/>
        </w:rPr>
      </w:pPr>
    </w:p>
    <w:p w14:paraId="75262879">
      <w:pPr>
        <w:spacing w:line="360" w:lineRule="auto"/>
        <w:rPr>
          <w:rFonts w:ascii="宋体" w:hAnsi="宋体" w:cs="宋体"/>
          <w:b/>
          <w:color w:val="auto"/>
          <w:sz w:val="28"/>
          <w:szCs w:val="28"/>
          <w:highlight w:val="none"/>
        </w:rPr>
      </w:pPr>
    </w:p>
    <w:p w14:paraId="0AD07A70">
      <w:pPr>
        <w:pStyle w:val="11"/>
        <w:rPr>
          <w:rFonts w:ascii="宋体" w:hAnsi="宋体" w:cs="宋体"/>
          <w:b/>
          <w:color w:val="auto"/>
          <w:sz w:val="28"/>
          <w:szCs w:val="28"/>
          <w:highlight w:val="none"/>
        </w:rPr>
      </w:pPr>
    </w:p>
    <w:p w14:paraId="1DEC543B">
      <w:pPr>
        <w:pStyle w:val="11"/>
        <w:rPr>
          <w:rFonts w:ascii="宋体" w:hAnsi="宋体" w:cs="宋体"/>
          <w:b/>
          <w:color w:val="auto"/>
          <w:sz w:val="28"/>
          <w:szCs w:val="28"/>
          <w:highlight w:val="none"/>
        </w:rPr>
      </w:pPr>
    </w:p>
    <w:p w14:paraId="68A64056">
      <w:pPr>
        <w:pStyle w:val="11"/>
        <w:rPr>
          <w:rFonts w:ascii="宋体" w:hAnsi="宋体" w:cs="宋体"/>
          <w:b/>
          <w:color w:val="auto"/>
          <w:sz w:val="28"/>
          <w:szCs w:val="28"/>
          <w:highlight w:val="none"/>
        </w:rPr>
      </w:pPr>
    </w:p>
    <w:p w14:paraId="16D2AACD">
      <w:pPr>
        <w:spacing w:line="360" w:lineRule="auto"/>
        <w:rPr>
          <w:rFonts w:ascii="宋体" w:hAnsi="宋体" w:cs="宋体"/>
          <w:b/>
          <w:color w:val="auto"/>
          <w:sz w:val="28"/>
          <w:szCs w:val="28"/>
          <w:highlight w:val="none"/>
        </w:rPr>
      </w:pPr>
    </w:p>
    <w:p w14:paraId="5EF914AA">
      <w:pPr>
        <w:pStyle w:val="2"/>
      </w:pPr>
    </w:p>
    <w:p w14:paraId="5A7E0F25">
      <w:pPr>
        <w:spacing w:line="360" w:lineRule="auto"/>
        <w:rPr>
          <w:rFonts w:ascii="宋体" w:hAnsi="宋体" w:cs="宋体"/>
          <w:b/>
          <w:color w:val="auto"/>
          <w:sz w:val="28"/>
          <w:szCs w:val="28"/>
          <w:highlight w:val="none"/>
        </w:rPr>
      </w:pPr>
    </w:p>
    <w:p w14:paraId="77745486">
      <w:pPr>
        <w:spacing w:line="360" w:lineRule="auto"/>
        <w:rPr>
          <w:rFonts w:ascii="宋体" w:hAnsi="宋体" w:cs="宋体"/>
          <w:b/>
          <w:color w:val="auto"/>
          <w:sz w:val="28"/>
          <w:szCs w:val="28"/>
          <w:highlight w:val="none"/>
        </w:rPr>
      </w:pPr>
    </w:p>
    <w:p w14:paraId="34582464">
      <w:pPr>
        <w:adjustRightInd w:val="0"/>
        <w:snapToGrid w:val="0"/>
        <w:spacing w:line="360" w:lineRule="auto"/>
        <w:jc w:val="center"/>
        <w:rPr>
          <w:rFonts w:ascii="宋体" w:hAnsi="宋体" w:cs="宋体"/>
          <w:b/>
          <w:color w:val="auto"/>
          <w:spacing w:val="23"/>
          <w:sz w:val="28"/>
          <w:szCs w:val="28"/>
          <w:highlight w:val="none"/>
        </w:rPr>
      </w:pPr>
      <w:r>
        <w:rPr>
          <w:rFonts w:hint="eastAsia" w:ascii="宋体" w:hAnsi="宋体" w:cs="宋体"/>
          <w:b/>
          <w:color w:val="auto"/>
          <w:spacing w:val="23"/>
          <w:sz w:val="28"/>
          <w:szCs w:val="28"/>
          <w:highlight w:val="none"/>
        </w:rPr>
        <w:t>甲方(</w:t>
      </w:r>
      <w:r>
        <w:rPr>
          <w:color w:val="auto"/>
          <w:highlight w:val="none"/>
        </w:rPr>
        <w:fldChar w:fldCharType="begin"/>
      </w:r>
      <w:r>
        <w:rPr>
          <w:color w:val="auto"/>
          <w:highlight w:val="none"/>
        </w:rPr>
        <w:instrText xml:space="preserve"> HYPERLINK "http://set2.mail.qq.com/cgi-bin/mail_spam?action=check_link&amp;spam=0&amp;url=http%3A%2F%2Fwww%2Ebaidu%2Ecom%2Fs%3Fwd%3D%25E9%2587%2587%25E8%25B4%25AD%25E5%258D%2595%26hl_tag%3Dtextlink%26tn%3DSE_hldp01350_v6v6zkg6"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采购人</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w:t>
      </w:r>
      <w:r>
        <w:rPr>
          <w:rFonts w:hint="eastAsia" w:ascii="宋体" w:hAnsi="宋体" w:cs="宋体"/>
          <w:color w:val="auto"/>
          <w:spacing w:val="23"/>
          <w:sz w:val="28"/>
          <w:szCs w:val="28"/>
          <w:highlight w:val="none"/>
          <w:u w:val="single"/>
        </w:rPr>
        <w:t></w:t>
      </w:r>
    </w:p>
    <w:p w14:paraId="00C9D4E0">
      <w:pPr>
        <w:adjustRightInd w:val="0"/>
        <w:snapToGrid w:val="0"/>
        <w:spacing w:line="360" w:lineRule="auto"/>
        <w:jc w:val="center"/>
        <w:rPr>
          <w:rFonts w:ascii="宋体" w:hAnsi="宋体" w:cs="宋体"/>
          <w:color w:val="auto"/>
          <w:spacing w:val="23"/>
          <w:sz w:val="28"/>
          <w:szCs w:val="28"/>
          <w:highlight w:val="none"/>
          <w:u w:val="single"/>
        </w:rPr>
      </w:pPr>
      <w:r>
        <w:rPr>
          <w:color w:val="auto"/>
          <w:highlight w:val="none"/>
        </w:rPr>
        <w:fldChar w:fldCharType="begin"/>
      </w:r>
      <w:r>
        <w:rPr>
          <w:color w:val="auto"/>
          <w:highlight w:val="none"/>
        </w:rPr>
        <w:instrText xml:space="preserve"> HYPERLINK "http://set2.mail.qq.com/cgi-bin/mail_spam?action=check_link&amp;spam=0&amp;url=http%3A%2F%2Fwww%2Ebaidu%2Ecom%2Fs%3Fwd%3D%25E4%25B9%2599%25E6%2596%25B9%26hl_tag%3Dtextlink%26tn%3DSE_hldp01350_v6v6zkg6" </w:instrText>
      </w:r>
      <w:r>
        <w:rPr>
          <w:color w:val="auto"/>
          <w:highlight w:val="none"/>
        </w:rPr>
        <w:fldChar w:fldCharType="separate"/>
      </w:r>
      <w:r>
        <w:rPr>
          <w:rFonts w:hint="eastAsia" w:ascii="宋体" w:hAnsi="宋体" w:cs="宋体"/>
          <w:b/>
          <w:color w:val="auto"/>
          <w:spacing w:val="23"/>
          <w:sz w:val="28"/>
          <w:szCs w:val="28"/>
          <w:highlight w:val="none"/>
        </w:rPr>
        <w:t>乙方</w:t>
      </w:r>
      <w:r>
        <w:rPr>
          <w:rFonts w:hint="eastAsia" w:ascii="宋体" w:hAnsi="宋体" w:cs="宋体"/>
          <w:b/>
          <w:color w:val="auto"/>
          <w:spacing w:val="23"/>
          <w:sz w:val="28"/>
          <w:szCs w:val="28"/>
          <w:highlight w:val="none"/>
        </w:rPr>
        <w:fldChar w:fldCharType="end"/>
      </w:r>
      <w:r>
        <w:rPr>
          <w:rFonts w:hint="eastAsia" w:ascii="宋体" w:hAnsi="宋体" w:cs="宋体"/>
          <w:b/>
          <w:color w:val="auto"/>
          <w:spacing w:val="23"/>
          <w:sz w:val="28"/>
          <w:szCs w:val="28"/>
          <w:highlight w:val="none"/>
        </w:rPr>
        <w:t>(投标人)：</w:t>
      </w:r>
      <w:r>
        <w:rPr>
          <w:rFonts w:hint="eastAsia" w:ascii="宋体" w:hAnsi="宋体" w:cs="宋体"/>
          <w:color w:val="auto"/>
          <w:spacing w:val="23"/>
          <w:sz w:val="28"/>
          <w:szCs w:val="28"/>
          <w:highlight w:val="none"/>
          <w:u w:val="single"/>
        </w:rPr>
        <w:t></w:t>
      </w:r>
    </w:p>
    <w:p w14:paraId="24ED5685">
      <w:pPr>
        <w:adjustRightInd w:val="0"/>
        <w:snapToGrid w:val="0"/>
        <w:spacing w:line="360" w:lineRule="auto"/>
        <w:jc w:val="center"/>
        <w:rPr>
          <w:rFonts w:ascii="宋体" w:hAnsi="宋体" w:cs="宋体"/>
          <w:b/>
          <w:color w:val="auto"/>
          <w:sz w:val="28"/>
          <w:szCs w:val="28"/>
          <w:highlight w:val="none"/>
        </w:rPr>
      </w:pPr>
      <w:r>
        <w:rPr>
          <w:rFonts w:hint="eastAsia" w:ascii="宋体" w:hAnsi="宋体" w:cs="宋体"/>
          <w:b/>
          <w:color w:val="auto"/>
          <w:spacing w:val="23"/>
          <w:sz w:val="28"/>
          <w:szCs w:val="28"/>
          <w:highlight w:val="none"/>
        </w:rPr>
        <w:t>签订时间：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年</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月</w:t>
      </w:r>
      <w:r>
        <w:rPr>
          <w:rFonts w:hint="eastAsia" w:ascii="宋体" w:hAnsi="宋体" w:cs="宋体"/>
          <w:color w:val="auto"/>
          <w:spacing w:val="23"/>
          <w:sz w:val="28"/>
          <w:szCs w:val="28"/>
          <w:highlight w:val="none"/>
          <w:u w:val="single"/>
        </w:rPr>
        <w:t></w:t>
      </w:r>
      <w:r>
        <w:rPr>
          <w:rFonts w:hint="eastAsia" w:ascii="宋体" w:hAnsi="宋体" w:cs="宋体"/>
          <w:b/>
          <w:color w:val="auto"/>
          <w:spacing w:val="23"/>
          <w:sz w:val="28"/>
          <w:szCs w:val="28"/>
          <w:highlight w:val="none"/>
        </w:rPr>
        <w:t>日</w:t>
      </w:r>
    </w:p>
    <w:p w14:paraId="1D604CE1">
      <w:pPr>
        <w:widowControl/>
        <w:spacing w:line="360" w:lineRule="auto"/>
        <w:ind w:firstLine="562" w:firstLineChars="200"/>
        <w:jc w:val="center"/>
        <w:rPr>
          <w:rFonts w:hint="eastAsia" w:ascii="宋体" w:hAnsi="宋体" w:eastAsia="宋体" w:cs="宋体"/>
          <w:b/>
          <w:color w:val="auto"/>
          <w:sz w:val="28"/>
          <w:szCs w:val="28"/>
          <w:highlight w:val="none"/>
        </w:rPr>
      </w:pPr>
    </w:p>
    <w:p w14:paraId="0024C691">
      <w:pPr>
        <w:widowControl/>
        <w:spacing w:line="360" w:lineRule="auto"/>
        <w:ind w:firstLine="562" w:firstLineChars="200"/>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合同范本</w:t>
      </w:r>
    </w:p>
    <w:p w14:paraId="11EE067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甲方(采购人)：</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p>
    <w:p w14:paraId="0B4E0BA1">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w:t>
      </w:r>
      <w:r>
        <w:rPr>
          <w:rFonts w:hint="eastAsia" w:ascii="宋体" w:hAnsi="宋体" w:cs="宋体"/>
          <w:bCs/>
          <w:color w:val="auto"/>
          <w:sz w:val="24"/>
          <w:szCs w:val="24"/>
          <w:highlight w:val="none"/>
          <w:lang w:val="en-US" w:eastAsia="zh-CN"/>
        </w:rPr>
        <w:t>投标人</w:t>
      </w:r>
      <w:r>
        <w:rPr>
          <w:rFonts w:hint="eastAsia" w:ascii="宋体" w:hAnsi="宋体" w:eastAsia="宋体" w:cs="宋体"/>
          <w:bCs/>
          <w:color w:val="auto"/>
          <w:sz w:val="24"/>
          <w:szCs w:val="24"/>
          <w:highlight w:val="none"/>
        </w:rPr>
        <w:t>)：</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 xml:space="preserve"> </w:t>
      </w:r>
      <w:r>
        <w:rPr>
          <w:rFonts w:hint="eastAsia" w:ascii="宋体" w:hAnsi="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 xml:space="preserve">              </w:t>
      </w:r>
    </w:p>
    <w:p w14:paraId="1DF42F67">
      <w:pPr>
        <w:pStyle w:val="12"/>
        <w:spacing w:line="360" w:lineRule="auto"/>
        <w:ind w:firstLine="480"/>
        <w:rPr>
          <w:rFonts w:hint="eastAsia" w:ascii="宋体" w:hAnsi="宋体" w:eastAsia="宋体" w:cs="宋体"/>
          <w:color w:val="auto"/>
          <w:highlight w:val="none"/>
        </w:rPr>
      </w:pPr>
      <w:r>
        <w:rPr>
          <w:rFonts w:hint="eastAsia" w:ascii="宋体" w:hAnsi="宋体" w:eastAsia="宋体" w:cs="宋体"/>
          <w:bCs/>
          <w:color w:val="auto"/>
          <w:highlight w:val="none"/>
        </w:rPr>
        <w:t>甲乙双方经协商一致，订立本合同，</w:t>
      </w:r>
      <w:r>
        <w:rPr>
          <w:rFonts w:hint="eastAsia" w:ascii="宋体" w:hAnsi="宋体" w:eastAsia="宋体" w:cs="宋体"/>
          <w:color w:val="auto"/>
          <w:highlight w:val="none"/>
        </w:rPr>
        <w:t>根据《中华人民共和国</w:t>
      </w:r>
      <w:r>
        <w:rPr>
          <w:rFonts w:hint="eastAsia" w:ascii="宋体" w:hAnsi="宋体" w:eastAsia="宋体" w:cs="宋体"/>
          <w:color w:val="auto"/>
          <w:highlight w:val="none"/>
          <w:lang w:val="en-US" w:eastAsia="zh-CN"/>
        </w:rPr>
        <w:t>民法典</w:t>
      </w:r>
      <w:r>
        <w:rPr>
          <w:rFonts w:hint="eastAsia" w:ascii="宋体" w:hAnsi="宋体" w:eastAsia="宋体" w:cs="宋体"/>
          <w:color w:val="auto"/>
          <w:highlight w:val="none"/>
        </w:rPr>
        <w:t>》《中华人民共和国政府采购法》及</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项目名称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highlight w:val="none"/>
        </w:rPr>
        <w:t>的</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、乙方的</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及</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通知书，甲、乙双方同意签订本合同。详细技术说明及其他有关合同项目的特定信息由合同附件予以说明，合同附件及本项目的</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投标</w:t>
      </w:r>
      <w:r>
        <w:rPr>
          <w:rFonts w:hint="eastAsia" w:ascii="宋体" w:hAnsi="宋体" w:eastAsia="宋体" w:cs="宋体"/>
          <w:color w:val="auto"/>
          <w:highlight w:val="none"/>
          <w:lang w:eastAsia="zh-CN"/>
        </w:rPr>
        <w:t>文件</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中标（</w:t>
      </w:r>
      <w:r>
        <w:rPr>
          <w:rFonts w:hint="eastAsia" w:ascii="宋体" w:hAnsi="宋体" w:eastAsia="宋体" w:cs="宋体"/>
          <w:color w:val="auto"/>
          <w:sz w:val="24"/>
          <w:highlight w:val="none"/>
          <w:lang w:val="en-US" w:eastAsia="zh-CN"/>
        </w:rPr>
        <w:t>成交</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rPr>
        <w:t>通知书等均为本合同不可分割的部分。双方同意共同遵守如下条款：</w:t>
      </w:r>
    </w:p>
    <w:p w14:paraId="20380B53">
      <w:pPr>
        <w:widowControl/>
        <w:numPr>
          <w:ilvl w:val="0"/>
          <w:numId w:val="0"/>
        </w:numPr>
        <w:spacing w:line="360" w:lineRule="auto"/>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 xml:space="preserve"> 采购内容：</w:t>
      </w:r>
    </w:p>
    <w:tbl>
      <w:tblPr>
        <w:tblStyle w:val="9"/>
        <w:tblW w:w="9240" w:type="dxa"/>
        <w:tblInd w:w="-2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4"/>
        <w:gridCol w:w="785"/>
        <w:gridCol w:w="1568"/>
        <w:gridCol w:w="1134"/>
        <w:gridCol w:w="1275"/>
        <w:gridCol w:w="1035"/>
        <w:gridCol w:w="1176"/>
        <w:gridCol w:w="1583"/>
      </w:tblGrid>
      <w:tr w14:paraId="725BC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right w:val="single" w:color="000000" w:sz="8" w:space="0"/>
            </w:tcBorders>
            <w:noWrap w:val="0"/>
            <w:vAlign w:val="center"/>
          </w:tcPr>
          <w:p w14:paraId="6A0F8A4D">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785" w:type="dxa"/>
            <w:tcBorders>
              <w:left w:val="single" w:color="000000" w:sz="8" w:space="0"/>
            </w:tcBorders>
            <w:noWrap w:val="0"/>
            <w:vAlign w:val="center"/>
          </w:tcPr>
          <w:p w14:paraId="63821230">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名称</w:t>
            </w:r>
          </w:p>
        </w:tc>
        <w:tc>
          <w:tcPr>
            <w:tcW w:w="1568" w:type="dxa"/>
            <w:noWrap w:val="0"/>
            <w:vAlign w:val="center"/>
          </w:tcPr>
          <w:p w14:paraId="32BA387B">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规格/参数</w:t>
            </w:r>
          </w:p>
        </w:tc>
        <w:tc>
          <w:tcPr>
            <w:tcW w:w="1134" w:type="dxa"/>
            <w:noWrap w:val="0"/>
            <w:vAlign w:val="center"/>
          </w:tcPr>
          <w:p w14:paraId="4D255DB4">
            <w:pPr>
              <w:pStyle w:val="13"/>
              <w:jc w:val="center"/>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品牌</w:t>
            </w:r>
            <w:r>
              <w:rPr>
                <w:rFonts w:hint="eastAsia" w:ascii="宋体" w:hAnsi="宋体" w:eastAsia="宋体" w:cs="宋体"/>
                <w:color w:val="auto"/>
                <w:highlight w:val="none"/>
                <w:lang w:val="en-US" w:eastAsia="zh-CN"/>
              </w:rPr>
              <w:t>/型号</w:t>
            </w:r>
          </w:p>
        </w:tc>
        <w:tc>
          <w:tcPr>
            <w:tcW w:w="1275" w:type="dxa"/>
            <w:noWrap w:val="0"/>
            <w:vAlign w:val="center"/>
          </w:tcPr>
          <w:p w14:paraId="703482FB">
            <w:pPr>
              <w:pStyle w:val="13"/>
              <w:jc w:val="center"/>
              <w:rPr>
                <w:rFonts w:hint="eastAsia" w:ascii="宋体" w:hAnsi="宋体" w:eastAsia="宋体" w:cs="宋体"/>
                <w:color w:val="auto"/>
                <w:highlight w:val="none"/>
                <w:lang w:val="en-US" w:eastAsia="zh-CN"/>
              </w:rPr>
            </w:pPr>
            <w:r>
              <w:rPr>
                <w:rFonts w:hint="eastAsia" w:ascii="宋体" w:hAnsi="宋体" w:cs="宋体"/>
                <w:color w:val="auto"/>
                <w:highlight w:val="none"/>
                <w:lang w:val="en-US" w:eastAsia="zh-CN"/>
              </w:rPr>
              <w:t>保修期</w:t>
            </w:r>
          </w:p>
        </w:tc>
        <w:tc>
          <w:tcPr>
            <w:tcW w:w="1035" w:type="dxa"/>
            <w:noWrap w:val="0"/>
            <w:vAlign w:val="center"/>
          </w:tcPr>
          <w:p w14:paraId="2521A2B8">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数量</w:t>
            </w:r>
          </w:p>
        </w:tc>
        <w:tc>
          <w:tcPr>
            <w:tcW w:w="1176" w:type="dxa"/>
            <w:tcBorders>
              <w:right w:val="single" w:color="000000" w:sz="8" w:space="0"/>
            </w:tcBorders>
            <w:noWrap w:val="0"/>
            <w:vAlign w:val="center"/>
          </w:tcPr>
          <w:p w14:paraId="64D577FA">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单价(元)</w:t>
            </w:r>
          </w:p>
        </w:tc>
        <w:tc>
          <w:tcPr>
            <w:tcW w:w="1583" w:type="dxa"/>
            <w:tcBorders>
              <w:left w:val="single" w:color="000000" w:sz="8" w:space="0"/>
              <w:right w:val="single" w:color="000000" w:sz="8" w:space="0"/>
            </w:tcBorders>
            <w:noWrap w:val="0"/>
            <w:vAlign w:val="center"/>
          </w:tcPr>
          <w:p w14:paraId="5193783F">
            <w:pPr>
              <w:pStyle w:val="13"/>
              <w:jc w:val="center"/>
              <w:rPr>
                <w:rFonts w:hint="eastAsia" w:ascii="宋体" w:hAnsi="宋体" w:eastAsia="宋体" w:cs="宋体"/>
                <w:color w:val="auto"/>
                <w:highlight w:val="none"/>
              </w:rPr>
            </w:pPr>
            <w:r>
              <w:rPr>
                <w:rFonts w:hint="eastAsia" w:ascii="宋体" w:hAnsi="宋体" w:eastAsia="宋体" w:cs="宋体"/>
                <w:color w:val="auto"/>
                <w:highlight w:val="none"/>
              </w:rPr>
              <w:t>总</w:t>
            </w:r>
            <w:r>
              <w:rPr>
                <w:rFonts w:hint="eastAsia" w:ascii="宋体" w:hAnsi="宋体" w:eastAsia="宋体" w:cs="宋体"/>
                <w:color w:val="auto"/>
                <w:highlight w:val="none"/>
                <w:lang w:val="en-US" w:eastAsia="zh-CN"/>
              </w:rPr>
              <w:t>价</w:t>
            </w:r>
            <w:r>
              <w:rPr>
                <w:rFonts w:hint="eastAsia" w:ascii="宋体" w:hAnsi="宋体" w:eastAsia="宋体" w:cs="宋体"/>
                <w:color w:val="auto"/>
                <w:highlight w:val="none"/>
              </w:rPr>
              <w:t>(元)</w:t>
            </w:r>
          </w:p>
        </w:tc>
      </w:tr>
      <w:tr w14:paraId="40B63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37493704">
            <w:pPr>
              <w:pStyle w:val="13"/>
              <w:jc w:val="center"/>
              <w:rPr>
                <w:rFonts w:hint="default" w:ascii="宋体" w:hAnsi="宋体" w:eastAsia="宋体" w:cs="宋体"/>
                <w:color w:val="auto"/>
                <w:highlight w:val="none"/>
                <w:lang w:val="en-US" w:eastAsia="zh-CN"/>
              </w:rPr>
            </w:pPr>
            <w:r>
              <w:rPr>
                <w:rFonts w:hint="eastAsia" w:ascii="宋体" w:hAnsi="宋体" w:cs="宋体"/>
                <w:color w:val="auto"/>
                <w:highlight w:val="none"/>
                <w:lang w:val="en-US" w:eastAsia="zh-CN"/>
              </w:rPr>
              <w:t>...</w:t>
            </w:r>
          </w:p>
        </w:tc>
        <w:tc>
          <w:tcPr>
            <w:tcW w:w="785" w:type="dxa"/>
            <w:noWrap w:val="0"/>
            <w:vAlign w:val="center"/>
          </w:tcPr>
          <w:p w14:paraId="541A96F4">
            <w:pPr>
              <w:pStyle w:val="13"/>
              <w:jc w:val="center"/>
              <w:rPr>
                <w:rFonts w:hint="eastAsia" w:ascii="宋体" w:hAnsi="宋体" w:eastAsia="宋体" w:cs="宋体"/>
                <w:color w:val="auto"/>
                <w:highlight w:val="none"/>
              </w:rPr>
            </w:pPr>
          </w:p>
        </w:tc>
        <w:tc>
          <w:tcPr>
            <w:tcW w:w="1568" w:type="dxa"/>
            <w:noWrap w:val="0"/>
            <w:vAlign w:val="center"/>
          </w:tcPr>
          <w:p w14:paraId="4CECD8BF">
            <w:pPr>
              <w:pStyle w:val="13"/>
              <w:jc w:val="center"/>
              <w:rPr>
                <w:rFonts w:hint="eastAsia" w:ascii="宋体" w:hAnsi="宋体" w:eastAsia="宋体" w:cs="宋体"/>
                <w:color w:val="auto"/>
                <w:highlight w:val="none"/>
              </w:rPr>
            </w:pPr>
          </w:p>
        </w:tc>
        <w:tc>
          <w:tcPr>
            <w:tcW w:w="1134" w:type="dxa"/>
            <w:noWrap w:val="0"/>
            <w:vAlign w:val="center"/>
          </w:tcPr>
          <w:p w14:paraId="5FC561E0">
            <w:pPr>
              <w:pStyle w:val="13"/>
              <w:jc w:val="center"/>
              <w:rPr>
                <w:rFonts w:hint="eastAsia" w:ascii="宋体" w:hAnsi="宋体" w:eastAsia="宋体" w:cs="宋体"/>
                <w:color w:val="auto"/>
                <w:highlight w:val="none"/>
              </w:rPr>
            </w:pPr>
          </w:p>
        </w:tc>
        <w:tc>
          <w:tcPr>
            <w:tcW w:w="1275" w:type="dxa"/>
            <w:noWrap w:val="0"/>
            <w:vAlign w:val="center"/>
          </w:tcPr>
          <w:p w14:paraId="79A55244">
            <w:pPr>
              <w:pStyle w:val="13"/>
              <w:jc w:val="center"/>
              <w:rPr>
                <w:rFonts w:hint="eastAsia" w:ascii="宋体" w:hAnsi="宋体" w:eastAsia="宋体" w:cs="宋体"/>
                <w:color w:val="auto"/>
                <w:highlight w:val="none"/>
              </w:rPr>
            </w:pPr>
          </w:p>
        </w:tc>
        <w:tc>
          <w:tcPr>
            <w:tcW w:w="1035" w:type="dxa"/>
            <w:noWrap w:val="0"/>
            <w:vAlign w:val="center"/>
          </w:tcPr>
          <w:p w14:paraId="659CF2F1">
            <w:pPr>
              <w:pStyle w:val="13"/>
              <w:jc w:val="center"/>
              <w:rPr>
                <w:rFonts w:hint="eastAsia" w:ascii="宋体" w:hAnsi="宋体" w:eastAsia="宋体" w:cs="宋体"/>
                <w:color w:val="auto"/>
                <w:highlight w:val="none"/>
              </w:rPr>
            </w:pPr>
          </w:p>
        </w:tc>
        <w:tc>
          <w:tcPr>
            <w:tcW w:w="1176" w:type="dxa"/>
            <w:noWrap w:val="0"/>
            <w:vAlign w:val="center"/>
          </w:tcPr>
          <w:p w14:paraId="2785A70C">
            <w:pPr>
              <w:pStyle w:val="13"/>
              <w:jc w:val="center"/>
              <w:rPr>
                <w:rFonts w:hint="eastAsia" w:ascii="宋体" w:hAnsi="宋体" w:eastAsia="宋体" w:cs="宋体"/>
                <w:color w:val="auto"/>
                <w:highlight w:val="none"/>
              </w:rPr>
            </w:pPr>
          </w:p>
        </w:tc>
        <w:tc>
          <w:tcPr>
            <w:tcW w:w="1583" w:type="dxa"/>
            <w:noWrap w:val="0"/>
            <w:vAlign w:val="center"/>
          </w:tcPr>
          <w:p w14:paraId="4ABD59DB">
            <w:pPr>
              <w:pStyle w:val="13"/>
              <w:jc w:val="center"/>
              <w:rPr>
                <w:rFonts w:hint="eastAsia" w:ascii="宋体" w:hAnsi="宋体" w:eastAsia="宋体" w:cs="宋体"/>
                <w:color w:val="auto"/>
                <w:highlight w:val="none"/>
              </w:rPr>
            </w:pPr>
          </w:p>
        </w:tc>
      </w:tr>
      <w:tr w14:paraId="4BD42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755C0D8F">
            <w:pPr>
              <w:pStyle w:val="13"/>
              <w:jc w:val="center"/>
              <w:rPr>
                <w:rFonts w:hint="eastAsia" w:ascii="宋体" w:hAnsi="宋体" w:eastAsia="宋体" w:cs="宋体"/>
                <w:color w:val="auto"/>
                <w:highlight w:val="none"/>
              </w:rPr>
            </w:pPr>
          </w:p>
        </w:tc>
        <w:tc>
          <w:tcPr>
            <w:tcW w:w="785" w:type="dxa"/>
            <w:noWrap w:val="0"/>
            <w:vAlign w:val="center"/>
          </w:tcPr>
          <w:p w14:paraId="3B954F55">
            <w:pPr>
              <w:pStyle w:val="13"/>
              <w:jc w:val="center"/>
              <w:rPr>
                <w:rFonts w:hint="eastAsia" w:ascii="宋体" w:hAnsi="宋体" w:eastAsia="宋体" w:cs="宋体"/>
                <w:color w:val="auto"/>
                <w:highlight w:val="none"/>
              </w:rPr>
            </w:pPr>
          </w:p>
        </w:tc>
        <w:tc>
          <w:tcPr>
            <w:tcW w:w="1568" w:type="dxa"/>
            <w:noWrap w:val="0"/>
            <w:vAlign w:val="center"/>
          </w:tcPr>
          <w:p w14:paraId="06C1BD6C">
            <w:pPr>
              <w:pStyle w:val="13"/>
              <w:jc w:val="center"/>
              <w:rPr>
                <w:rFonts w:hint="eastAsia" w:ascii="宋体" w:hAnsi="宋体" w:eastAsia="宋体" w:cs="宋体"/>
                <w:color w:val="auto"/>
                <w:highlight w:val="none"/>
              </w:rPr>
            </w:pPr>
          </w:p>
        </w:tc>
        <w:tc>
          <w:tcPr>
            <w:tcW w:w="1134" w:type="dxa"/>
            <w:noWrap w:val="0"/>
            <w:vAlign w:val="center"/>
          </w:tcPr>
          <w:p w14:paraId="26D946B8">
            <w:pPr>
              <w:pStyle w:val="13"/>
              <w:jc w:val="center"/>
              <w:rPr>
                <w:rFonts w:hint="eastAsia" w:ascii="宋体" w:hAnsi="宋体" w:eastAsia="宋体" w:cs="宋体"/>
                <w:color w:val="auto"/>
                <w:highlight w:val="none"/>
              </w:rPr>
            </w:pPr>
          </w:p>
        </w:tc>
        <w:tc>
          <w:tcPr>
            <w:tcW w:w="1275" w:type="dxa"/>
            <w:noWrap w:val="0"/>
            <w:vAlign w:val="center"/>
          </w:tcPr>
          <w:p w14:paraId="1D1E4AD1">
            <w:pPr>
              <w:pStyle w:val="13"/>
              <w:jc w:val="center"/>
              <w:rPr>
                <w:rFonts w:hint="eastAsia" w:ascii="宋体" w:hAnsi="宋体" w:eastAsia="宋体" w:cs="宋体"/>
                <w:color w:val="auto"/>
                <w:highlight w:val="none"/>
              </w:rPr>
            </w:pPr>
          </w:p>
        </w:tc>
        <w:tc>
          <w:tcPr>
            <w:tcW w:w="1035" w:type="dxa"/>
            <w:noWrap w:val="0"/>
            <w:vAlign w:val="center"/>
          </w:tcPr>
          <w:p w14:paraId="7A3D5A87">
            <w:pPr>
              <w:pStyle w:val="13"/>
              <w:jc w:val="center"/>
              <w:rPr>
                <w:rFonts w:hint="eastAsia" w:ascii="宋体" w:hAnsi="宋体" w:eastAsia="宋体" w:cs="宋体"/>
                <w:color w:val="auto"/>
                <w:highlight w:val="none"/>
              </w:rPr>
            </w:pPr>
          </w:p>
        </w:tc>
        <w:tc>
          <w:tcPr>
            <w:tcW w:w="1176" w:type="dxa"/>
            <w:noWrap w:val="0"/>
            <w:vAlign w:val="center"/>
          </w:tcPr>
          <w:p w14:paraId="2593AFA0">
            <w:pPr>
              <w:pStyle w:val="13"/>
              <w:jc w:val="center"/>
              <w:rPr>
                <w:rFonts w:hint="eastAsia" w:ascii="宋体" w:hAnsi="宋体" w:eastAsia="宋体" w:cs="宋体"/>
                <w:color w:val="auto"/>
                <w:highlight w:val="none"/>
              </w:rPr>
            </w:pPr>
          </w:p>
        </w:tc>
        <w:tc>
          <w:tcPr>
            <w:tcW w:w="1583" w:type="dxa"/>
            <w:noWrap w:val="0"/>
            <w:vAlign w:val="center"/>
          </w:tcPr>
          <w:p w14:paraId="2B03FF2D">
            <w:pPr>
              <w:pStyle w:val="13"/>
              <w:jc w:val="center"/>
              <w:rPr>
                <w:rFonts w:hint="eastAsia" w:ascii="宋体" w:hAnsi="宋体" w:eastAsia="宋体" w:cs="宋体"/>
                <w:color w:val="auto"/>
                <w:highlight w:val="none"/>
              </w:rPr>
            </w:pPr>
          </w:p>
        </w:tc>
      </w:tr>
      <w:tr w14:paraId="37190B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exact"/>
        </w:trPr>
        <w:tc>
          <w:tcPr>
            <w:tcW w:w="684" w:type="dxa"/>
            <w:tcBorders>
              <w:left w:val="single" w:color="000000" w:sz="8" w:space="0"/>
            </w:tcBorders>
            <w:noWrap w:val="0"/>
            <w:vAlign w:val="center"/>
          </w:tcPr>
          <w:p w14:paraId="4CF241B4">
            <w:pPr>
              <w:pStyle w:val="13"/>
              <w:jc w:val="center"/>
              <w:rPr>
                <w:rFonts w:hint="eastAsia" w:ascii="宋体" w:hAnsi="宋体" w:eastAsia="宋体" w:cs="宋体"/>
                <w:color w:val="auto"/>
                <w:highlight w:val="none"/>
              </w:rPr>
            </w:pPr>
          </w:p>
        </w:tc>
        <w:tc>
          <w:tcPr>
            <w:tcW w:w="785" w:type="dxa"/>
            <w:noWrap w:val="0"/>
            <w:vAlign w:val="center"/>
          </w:tcPr>
          <w:p w14:paraId="256CB1AE">
            <w:pPr>
              <w:pStyle w:val="13"/>
              <w:jc w:val="center"/>
              <w:rPr>
                <w:rFonts w:hint="eastAsia" w:ascii="宋体" w:hAnsi="宋体" w:eastAsia="宋体" w:cs="宋体"/>
                <w:color w:val="auto"/>
                <w:highlight w:val="none"/>
              </w:rPr>
            </w:pPr>
          </w:p>
        </w:tc>
        <w:tc>
          <w:tcPr>
            <w:tcW w:w="1568" w:type="dxa"/>
            <w:noWrap w:val="0"/>
            <w:vAlign w:val="center"/>
          </w:tcPr>
          <w:p w14:paraId="0B48BFB8">
            <w:pPr>
              <w:pStyle w:val="13"/>
              <w:jc w:val="center"/>
              <w:rPr>
                <w:rFonts w:hint="eastAsia" w:ascii="宋体" w:hAnsi="宋体" w:eastAsia="宋体" w:cs="宋体"/>
                <w:color w:val="auto"/>
                <w:highlight w:val="none"/>
              </w:rPr>
            </w:pPr>
          </w:p>
        </w:tc>
        <w:tc>
          <w:tcPr>
            <w:tcW w:w="1134" w:type="dxa"/>
            <w:noWrap w:val="0"/>
            <w:vAlign w:val="center"/>
          </w:tcPr>
          <w:p w14:paraId="061E2779">
            <w:pPr>
              <w:pStyle w:val="13"/>
              <w:jc w:val="center"/>
              <w:rPr>
                <w:rFonts w:hint="eastAsia" w:ascii="宋体" w:hAnsi="宋体" w:eastAsia="宋体" w:cs="宋体"/>
                <w:color w:val="auto"/>
                <w:highlight w:val="none"/>
              </w:rPr>
            </w:pPr>
          </w:p>
        </w:tc>
        <w:tc>
          <w:tcPr>
            <w:tcW w:w="1275" w:type="dxa"/>
            <w:noWrap w:val="0"/>
            <w:vAlign w:val="center"/>
          </w:tcPr>
          <w:p w14:paraId="28F8EF5C">
            <w:pPr>
              <w:pStyle w:val="13"/>
              <w:jc w:val="center"/>
              <w:rPr>
                <w:rFonts w:hint="eastAsia" w:ascii="宋体" w:hAnsi="宋体" w:eastAsia="宋体" w:cs="宋体"/>
                <w:color w:val="auto"/>
                <w:highlight w:val="none"/>
              </w:rPr>
            </w:pPr>
          </w:p>
        </w:tc>
        <w:tc>
          <w:tcPr>
            <w:tcW w:w="1035" w:type="dxa"/>
            <w:noWrap w:val="0"/>
            <w:vAlign w:val="center"/>
          </w:tcPr>
          <w:p w14:paraId="332F48AB">
            <w:pPr>
              <w:pStyle w:val="13"/>
              <w:jc w:val="center"/>
              <w:rPr>
                <w:rFonts w:hint="eastAsia" w:ascii="宋体" w:hAnsi="宋体" w:eastAsia="宋体" w:cs="宋体"/>
                <w:color w:val="auto"/>
                <w:highlight w:val="none"/>
              </w:rPr>
            </w:pPr>
          </w:p>
        </w:tc>
        <w:tc>
          <w:tcPr>
            <w:tcW w:w="1176" w:type="dxa"/>
            <w:noWrap w:val="0"/>
            <w:vAlign w:val="center"/>
          </w:tcPr>
          <w:p w14:paraId="72DCE27A">
            <w:pPr>
              <w:pStyle w:val="13"/>
              <w:jc w:val="center"/>
              <w:rPr>
                <w:rFonts w:hint="eastAsia" w:ascii="宋体" w:hAnsi="宋体" w:eastAsia="宋体" w:cs="宋体"/>
                <w:color w:val="auto"/>
                <w:highlight w:val="none"/>
              </w:rPr>
            </w:pPr>
          </w:p>
        </w:tc>
        <w:tc>
          <w:tcPr>
            <w:tcW w:w="1583" w:type="dxa"/>
            <w:noWrap w:val="0"/>
            <w:vAlign w:val="center"/>
          </w:tcPr>
          <w:p w14:paraId="2C251D47">
            <w:pPr>
              <w:pStyle w:val="13"/>
              <w:jc w:val="center"/>
              <w:rPr>
                <w:rFonts w:hint="eastAsia" w:ascii="宋体" w:hAnsi="宋体" w:eastAsia="宋体" w:cs="宋体"/>
                <w:color w:val="auto"/>
                <w:highlight w:val="none"/>
              </w:rPr>
            </w:pPr>
          </w:p>
        </w:tc>
      </w:tr>
      <w:tr w14:paraId="00F2CC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exact"/>
        </w:trPr>
        <w:tc>
          <w:tcPr>
            <w:tcW w:w="684" w:type="dxa"/>
            <w:tcBorders>
              <w:left w:val="single" w:color="000000" w:sz="8" w:space="0"/>
            </w:tcBorders>
            <w:noWrap w:val="0"/>
            <w:vAlign w:val="center"/>
          </w:tcPr>
          <w:p w14:paraId="3823B6B4">
            <w:pPr>
              <w:pStyle w:val="13"/>
              <w:jc w:val="center"/>
              <w:rPr>
                <w:rFonts w:hint="eastAsia" w:ascii="宋体" w:hAnsi="宋体" w:eastAsia="宋体" w:cs="宋体"/>
                <w:color w:val="auto"/>
                <w:highlight w:val="none"/>
              </w:rPr>
            </w:pPr>
          </w:p>
        </w:tc>
        <w:tc>
          <w:tcPr>
            <w:tcW w:w="785" w:type="dxa"/>
            <w:noWrap w:val="0"/>
            <w:vAlign w:val="center"/>
          </w:tcPr>
          <w:p w14:paraId="17EA1840">
            <w:pPr>
              <w:pStyle w:val="13"/>
              <w:jc w:val="center"/>
              <w:rPr>
                <w:rFonts w:hint="eastAsia" w:ascii="宋体" w:hAnsi="宋体" w:eastAsia="宋体" w:cs="宋体"/>
                <w:color w:val="auto"/>
                <w:highlight w:val="none"/>
              </w:rPr>
            </w:pPr>
          </w:p>
        </w:tc>
        <w:tc>
          <w:tcPr>
            <w:tcW w:w="1568" w:type="dxa"/>
            <w:noWrap w:val="0"/>
            <w:vAlign w:val="center"/>
          </w:tcPr>
          <w:p w14:paraId="127A7BEA">
            <w:pPr>
              <w:pStyle w:val="13"/>
              <w:jc w:val="center"/>
              <w:rPr>
                <w:rFonts w:hint="eastAsia" w:ascii="宋体" w:hAnsi="宋体" w:eastAsia="宋体" w:cs="宋体"/>
                <w:color w:val="auto"/>
                <w:highlight w:val="none"/>
              </w:rPr>
            </w:pPr>
          </w:p>
        </w:tc>
        <w:tc>
          <w:tcPr>
            <w:tcW w:w="1134" w:type="dxa"/>
            <w:noWrap w:val="0"/>
            <w:vAlign w:val="center"/>
          </w:tcPr>
          <w:p w14:paraId="23653A12">
            <w:pPr>
              <w:pStyle w:val="13"/>
              <w:jc w:val="center"/>
              <w:rPr>
                <w:rFonts w:hint="eastAsia" w:ascii="宋体" w:hAnsi="宋体" w:eastAsia="宋体" w:cs="宋体"/>
                <w:color w:val="auto"/>
                <w:highlight w:val="none"/>
              </w:rPr>
            </w:pPr>
          </w:p>
        </w:tc>
        <w:tc>
          <w:tcPr>
            <w:tcW w:w="1275" w:type="dxa"/>
            <w:noWrap w:val="0"/>
            <w:vAlign w:val="center"/>
          </w:tcPr>
          <w:p w14:paraId="2103FFBE">
            <w:pPr>
              <w:pStyle w:val="13"/>
              <w:jc w:val="center"/>
              <w:rPr>
                <w:rFonts w:hint="eastAsia" w:ascii="宋体" w:hAnsi="宋体" w:eastAsia="宋体" w:cs="宋体"/>
                <w:color w:val="auto"/>
                <w:highlight w:val="none"/>
              </w:rPr>
            </w:pPr>
          </w:p>
        </w:tc>
        <w:tc>
          <w:tcPr>
            <w:tcW w:w="1035" w:type="dxa"/>
            <w:noWrap w:val="0"/>
            <w:vAlign w:val="center"/>
          </w:tcPr>
          <w:p w14:paraId="636EFAFD">
            <w:pPr>
              <w:pStyle w:val="13"/>
              <w:jc w:val="center"/>
              <w:rPr>
                <w:rFonts w:hint="eastAsia" w:ascii="宋体" w:hAnsi="宋体" w:eastAsia="宋体" w:cs="宋体"/>
                <w:color w:val="auto"/>
                <w:highlight w:val="none"/>
              </w:rPr>
            </w:pPr>
          </w:p>
        </w:tc>
        <w:tc>
          <w:tcPr>
            <w:tcW w:w="1176" w:type="dxa"/>
            <w:noWrap w:val="0"/>
            <w:vAlign w:val="center"/>
          </w:tcPr>
          <w:p w14:paraId="20C7B07F">
            <w:pPr>
              <w:pStyle w:val="13"/>
              <w:jc w:val="center"/>
              <w:rPr>
                <w:rFonts w:hint="eastAsia" w:ascii="宋体" w:hAnsi="宋体" w:eastAsia="宋体" w:cs="宋体"/>
                <w:color w:val="auto"/>
                <w:highlight w:val="none"/>
              </w:rPr>
            </w:pPr>
          </w:p>
        </w:tc>
        <w:tc>
          <w:tcPr>
            <w:tcW w:w="1583" w:type="dxa"/>
            <w:noWrap w:val="0"/>
            <w:vAlign w:val="center"/>
          </w:tcPr>
          <w:p w14:paraId="1D7E62A0">
            <w:pPr>
              <w:pStyle w:val="13"/>
              <w:jc w:val="center"/>
              <w:rPr>
                <w:rFonts w:hint="eastAsia" w:ascii="宋体" w:hAnsi="宋体" w:eastAsia="宋体" w:cs="宋体"/>
                <w:color w:val="auto"/>
                <w:highlight w:val="none"/>
              </w:rPr>
            </w:pPr>
          </w:p>
        </w:tc>
      </w:tr>
    </w:tbl>
    <w:p w14:paraId="1FDCE926">
      <w:pPr>
        <w:pStyle w:val="3"/>
        <w:widowControl w:val="0"/>
        <w:numPr>
          <w:ilvl w:val="0"/>
          <w:numId w:val="0"/>
        </w:numPr>
        <w:jc w:val="both"/>
        <w:rPr>
          <w:rFonts w:hint="eastAsia" w:ascii="宋体" w:hAnsi="宋体" w:eastAsia="宋体" w:cs="宋体"/>
          <w:color w:val="auto"/>
          <w:highlight w:val="none"/>
        </w:rPr>
      </w:pPr>
    </w:p>
    <w:p w14:paraId="70E375EF">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合同总额包括完成采购范围内全部货物采购及相关伴随服务等全过程的费用。</w:t>
      </w:r>
    </w:p>
    <w:p w14:paraId="21CBA8B7">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注：货物名称内容必须与</w:t>
      </w:r>
      <w:r>
        <w:rPr>
          <w:rFonts w:hint="eastAsia" w:ascii="宋体" w:hAnsi="宋体" w:eastAsia="宋体" w:cs="宋体"/>
          <w:color w:val="auto"/>
          <w:highlight w:val="none"/>
          <w:lang w:val="en-US" w:eastAsia="zh-CN"/>
        </w:rPr>
        <w:t>招标</w:t>
      </w:r>
      <w:r>
        <w:rPr>
          <w:rFonts w:hint="eastAsia" w:ascii="宋体" w:hAnsi="宋体" w:eastAsia="宋体" w:cs="宋体"/>
          <w:color w:val="auto"/>
          <w:highlight w:val="none"/>
          <w:lang w:val="en-US"/>
        </w:rPr>
        <w:t>文件中货物名称内容一致。</w:t>
      </w:r>
    </w:p>
    <w:p w14:paraId="2234299D">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二、合同金额：</w:t>
      </w:r>
    </w:p>
    <w:p w14:paraId="553E072A">
      <w:pPr>
        <w:pStyle w:val="12"/>
        <w:spacing w:line="360" w:lineRule="auto"/>
        <w:ind w:left="0" w:leftChars="0" w:firstLine="0" w:firstLineChars="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合同金额为</w:t>
      </w:r>
      <w:r>
        <w:rPr>
          <w:rFonts w:hint="eastAsia" w:ascii="宋体" w:hAnsi="宋体" w:eastAsia="宋体" w:cs="宋体"/>
          <w:color w:val="auto"/>
          <w:highlight w:val="none"/>
          <w:lang w:val="en-US" w:eastAsia="zh-CN"/>
        </w:rPr>
        <w:t>：</w:t>
      </w:r>
      <w:r>
        <w:rPr>
          <w:rFonts w:hint="eastAsia" w:ascii="宋体" w:hAnsi="宋体" w:eastAsia="宋体" w:cs="宋体"/>
          <w:color w:val="auto"/>
          <w:highlight w:val="none"/>
          <w:lang w:val="en-US"/>
        </w:rPr>
        <w:t>人民币（大写：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r>
        <w:rPr>
          <w:rFonts w:hint="eastAsia" w:ascii="宋体" w:hAnsi="宋体" w:eastAsia="宋体" w:cs="宋体"/>
          <w:color w:val="auto"/>
          <w:highlight w:val="none"/>
          <w:lang w:val="en-US" w:eastAsia="zh-CN"/>
        </w:rPr>
        <w:t>小写：</w:t>
      </w:r>
      <w:r>
        <w:rPr>
          <w:rFonts w:hint="eastAsia" w:ascii="宋体" w:hAnsi="宋体" w:eastAsia="宋体" w:cs="宋体"/>
          <w:color w:val="auto"/>
          <w:highlight w:val="none"/>
          <w:u w:val="single"/>
          <w:lang w:val="en-US"/>
        </w:rPr>
        <w:t xml:space="preserve">           </w:t>
      </w:r>
      <w:r>
        <w:rPr>
          <w:rFonts w:hint="eastAsia" w:ascii="宋体" w:hAnsi="宋体" w:eastAsia="宋体" w:cs="宋体"/>
          <w:color w:val="auto"/>
          <w:highlight w:val="none"/>
          <w:u w:val="single"/>
          <w:lang w:val="en-US"/>
        </w:rPr>
        <w:tab/>
      </w:r>
      <w:r>
        <w:rPr>
          <w:rFonts w:hint="eastAsia" w:ascii="宋体" w:hAnsi="宋体" w:eastAsia="宋体" w:cs="宋体"/>
          <w:color w:val="auto"/>
          <w:highlight w:val="none"/>
          <w:lang w:val="en-US"/>
        </w:rPr>
        <w:t>）。</w:t>
      </w:r>
    </w:p>
    <w:p w14:paraId="44463F13">
      <w:pPr>
        <w:widowControl/>
        <w:numPr>
          <w:ilvl w:val="0"/>
          <w:numId w:val="0"/>
        </w:numPr>
        <w:spacing w:line="360" w:lineRule="auto"/>
        <w:jc w:val="left"/>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三、货物要求：</w:t>
      </w:r>
    </w:p>
    <w:p w14:paraId="645DF77D">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货物为原制造商制造的全新产品，无污染，无侵权行为、表面无划损、无任何缺陷隐患，在中国境内可依常规安全合法使用。</w:t>
      </w:r>
    </w:p>
    <w:p w14:paraId="26B2D1C3">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交付验收标准依次序对照适用标准为：</w:t>
      </w:r>
    </w:p>
    <w:p w14:paraId="6370BD54">
      <w:pPr>
        <w:pStyle w:val="12"/>
        <w:spacing w:line="360" w:lineRule="auto"/>
        <w:ind w:left="0" w:leftChars="0" w:firstLine="480" w:firstLineChars="200"/>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①符合中华人民共和国国家安全质量标准、</w:t>
      </w:r>
      <w:r>
        <w:rPr>
          <w:rFonts w:hint="eastAsia" w:ascii="宋体" w:hAnsi="宋体" w:eastAsia="宋体" w:cs="宋体"/>
          <w:color w:val="auto"/>
          <w:highlight w:val="none"/>
          <w:lang w:val="en-US" w:eastAsia="zh-CN"/>
        </w:rPr>
        <w:t>节能标准、</w:t>
      </w:r>
      <w:r>
        <w:rPr>
          <w:rFonts w:hint="eastAsia" w:ascii="宋体" w:hAnsi="宋体" w:eastAsia="宋体" w:cs="宋体"/>
          <w:color w:val="auto"/>
          <w:highlight w:val="none"/>
          <w:lang w:val="en-US"/>
        </w:rPr>
        <w:t>环保标准或行业标准；</w:t>
      </w:r>
    </w:p>
    <w:p w14:paraId="67E376D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②符合</w:t>
      </w:r>
      <w:r>
        <w:rPr>
          <w:rFonts w:hint="eastAsia" w:ascii="宋体" w:hAnsi="宋体" w:eastAsia="宋体" w:cs="宋体"/>
          <w:color w:val="auto"/>
          <w:highlight w:val="none"/>
          <w:lang w:val="en-US" w:eastAsia="zh-CN"/>
        </w:rPr>
        <w:t>招标文件</w:t>
      </w:r>
      <w:r>
        <w:rPr>
          <w:rFonts w:hint="eastAsia" w:ascii="宋体" w:hAnsi="宋体" w:eastAsia="宋体" w:cs="宋体"/>
          <w:color w:val="auto"/>
          <w:highlight w:val="none"/>
          <w:lang w:val="en-US"/>
        </w:rPr>
        <w:t>和</w:t>
      </w:r>
      <w:r>
        <w:rPr>
          <w:rFonts w:hint="eastAsia" w:ascii="宋体" w:hAnsi="宋体" w:eastAsia="宋体" w:cs="宋体"/>
          <w:color w:val="auto"/>
          <w:highlight w:val="none"/>
          <w:lang w:val="en-US" w:eastAsia="zh-CN"/>
        </w:rPr>
        <w:t>投标文件</w:t>
      </w:r>
      <w:r>
        <w:rPr>
          <w:rFonts w:hint="eastAsia" w:ascii="宋体" w:hAnsi="宋体" w:eastAsia="宋体" w:cs="宋体"/>
          <w:color w:val="auto"/>
          <w:highlight w:val="none"/>
          <w:lang w:val="en-US"/>
        </w:rPr>
        <w:t>中甲方认可的各项要求；</w:t>
      </w:r>
    </w:p>
    <w:p w14:paraId="770C618C">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highlight w:val="none"/>
          <w:lang w:val="en-US"/>
        </w:rPr>
        <w:t>③货物来源</w:t>
      </w:r>
      <w:r>
        <w:rPr>
          <w:rFonts w:hint="eastAsia" w:ascii="宋体" w:hAnsi="宋体" w:eastAsia="宋体" w:cs="宋体"/>
          <w:color w:val="auto"/>
          <w:highlight w:val="none"/>
          <w:lang w:val="en-US" w:eastAsia="zh-CN"/>
        </w:rPr>
        <w:t>符合相关</w:t>
      </w:r>
      <w:r>
        <w:rPr>
          <w:rFonts w:hint="eastAsia" w:ascii="宋体" w:hAnsi="宋体" w:eastAsia="宋体" w:cs="宋体"/>
          <w:color w:val="auto"/>
          <w:highlight w:val="none"/>
          <w:lang w:val="en-US"/>
        </w:rPr>
        <w:t>标准。</w:t>
      </w:r>
    </w:p>
    <w:p w14:paraId="740815FA">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lang w:val="en-US"/>
        </w:rPr>
        <w:t>四、</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w:t>
      </w:r>
      <w:r>
        <w:rPr>
          <w:rFonts w:hint="eastAsia" w:ascii="宋体" w:hAnsi="宋体" w:eastAsia="宋体" w:cs="宋体"/>
          <w:b/>
          <w:color w:val="auto"/>
          <w:sz w:val="24"/>
          <w:szCs w:val="24"/>
          <w:highlight w:val="none"/>
          <w:lang w:val="en-US" w:eastAsia="zh-CN"/>
        </w:rPr>
        <w:t>期限</w:t>
      </w:r>
      <w:r>
        <w:rPr>
          <w:rFonts w:hint="eastAsia" w:ascii="宋体" w:hAnsi="宋体" w:eastAsia="宋体" w:cs="宋体"/>
          <w:b/>
          <w:color w:val="auto"/>
          <w:sz w:val="24"/>
          <w:szCs w:val="24"/>
          <w:highlight w:val="none"/>
          <w:lang w:val="en-US"/>
        </w:rPr>
        <w:t>及</w:t>
      </w:r>
      <w:r>
        <w:rPr>
          <w:rFonts w:hint="eastAsia" w:ascii="宋体" w:hAnsi="宋体" w:eastAsia="宋体" w:cs="宋体"/>
          <w:b/>
          <w:color w:val="auto"/>
          <w:sz w:val="24"/>
          <w:szCs w:val="24"/>
          <w:highlight w:val="none"/>
          <w:lang w:val="en-US" w:eastAsia="zh-CN"/>
        </w:rPr>
        <w:t>供</w:t>
      </w:r>
      <w:r>
        <w:rPr>
          <w:rFonts w:hint="eastAsia" w:ascii="宋体" w:hAnsi="宋体" w:eastAsia="宋体" w:cs="宋体"/>
          <w:b/>
          <w:color w:val="auto"/>
          <w:sz w:val="24"/>
          <w:szCs w:val="24"/>
          <w:highlight w:val="none"/>
          <w:lang w:val="en-US"/>
        </w:rPr>
        <w:t>货地点：</w:t>
      </w:r>
    </w:p>
    <w:p w14:paraId="7FEB637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b w:val="0"/>
          <w:bCs/>
          <w:color w:val="auto"/>
          <w:sz w:val="24"/>
          <w:szCs w:val="24"/>
          <w:highlight w:val="none"/>
          <w:lang w:val="en-US" w:eastAsia="zh-CN"/>
        </w:rPr>
        <w:t>供</w:t>
      </w:r>
      <w:r>
        <w:rPr>
          <w:rFonts w:hint="eastAsia" w:ascii="宋体" w:hAnsi="宋体" w:eastAsia="宋体" w:cs="宋体"/>
          <w:b w:val="0"/>
          <w:bCs/>
          <w:color w:val="auto"/>
          <w:sz w:val="24"/>
          <w:szCs w:val="24"/>
          <w:highlight w:val="none"/>
          <w:lang w:val="en-US"/>
        </w:rPr>
        <w:t>货</w:t>
      </w:r>
      <w:r>
        <w:rPr>
          <w:rFonts w:hint="eastAsia" w:ascii="宋体" w:hAnsi="宋体" w:eastAsia="宋体" w:cs="宋体"/>
          <w:color w:val="auto"/>
          <w:highlight w:val="none"/>
          <w:lang w:val="en-US" w:eastAsia="zh-CN"/>
        </w:rPr>
        <w:t>期限</w:t>
      </w:r>
      <w:r>
        <w:rPr>
          <w:rFonts w:hint="eastAsia" w:ascii="宋体" w:hAnsi="宋体" w:eastAsia="宋体" w:cs="宋体"/>
          <w:color w:val="auto"/>
          <w:highlight w:val="none"/>
          <w:lang w:val="en-US"/>
        </w:rPr>
        <w:t>：</w:t>
      </w:r>
      <w:r>
        <w:rPr>
          <w:rFonts w:hint="eastAsia" w:ascii="宋体" w:hAnsi="宋体" w:eastAsia="宋体" w:cs="宋体"/>
          <w:b w:val="0"/>
          <w:bCs/>
          <w:color w:val="auto"/>
          <w:kern w:val="1"/>
          <w:sz w:val="24"/>
          <w:highlight w:val="none"/>
          <w:u w:val="single"/>
          <w:lang w:val="en-US" w:eastAsia="zh-CN"/>
        </w:rPr>
        <w:t xml:space="preserve">                 </w:t>
      </w:r>
      <w:r>
        <w:rPr>
          <w:rFonts w:hint="eastAsia" w:ascii="宋体" w:hAnsi="宋体" w:eastAsia="宋体" w:cs="宋体"/>
          <w:color w:val="auto"/>
          <w:highlight w:val="none"/>
          <w:lang w:val="en-US"/>
        </w:rPr>
        <w:t>。</w:t>
      </w:r>
    </w:p>
    <w:p w14:paraId="36B3F2F7">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highlight w:val="none"/>
          <w:lang w:val="en-US"/>
        </w:rPr>
      </w:pPr>
      <w:r>
        <w:rPr>
          <w:rFonts w:hint="eastAsia" w:ascii="宋体" w:hAnsi="宋体" w:eastAsia="宋体" w:cs="宋体"/>
          <w:color w:val="auto"/>
          <w:highlight w:val="none"/>
          <w:lang w:val="en-US" w:eastAsia="zh-CN"/>
        </w:rPr>
        <w:t>供</w:t>
      </w:r>
      <w:r>
        <w:rPr>
          <w:rFonts w:hint="eastAsia" w:ascii="宋体" w:hAnsi="宋体" w:eastAsia="宋体" w:cs="宋体"/>
          <w:color w:val="auto"/>
          <w:highlight w:val="none"/>
          <w:lang w:val="en-US"/>
        </w:rPr>
        <w:t>货地点：</w:t>
      </w:r>
      <w:r>
        <w:rPr>
          <w:rFonts w:hint="eastAsia" w:ascii="宋体" w:hAnsi="宋体" w:eastAsia="宋体" w:cs="宋体"/>
          <w:color w:val="auto"/>
          <w:highlight w:val="none"/>
          <w:u w:val="single"/>
          <w:lang w:val="en-US" w:eastAsia="zh-CN"/>
        </w:rPr>
        <w:t xml:space="preserve">                 </w:t>
      </w:r>
      <w:r>
        <w:rPr>
          <w:rFonts w:hint="eastAsia" w:ascii="宋体" w:hAnsi="宋体" w:eastAsia="宋体" w:cs="宋体"/>
          <w:color w:val="auto"/>
          <w:highlight w:val="none"/>
          <w:lang w:val="en-US"/>
        </w:rPr>
        <w:t>。</w:t>
      </w:r>
    </w:p>
    <w:p w14:paraId="4FC73D63">
      <w:pPr>
        <w:pStyle w:val="14"/>
        <w:keepNext w:val="0"/>
        <w:keepLines w:val="0"/>
        <w:pageBreakBefore w:val="0"/>
        <w:widowControl w:val="0"/>
        <w:numPr>
          <w:ilvl w:val="0"/>
          <w:numId w:val="1"/>
        </w:numPr>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付款方式</w:t>
      </w:r>
      <w:r>
        <w:rPr>
          <w:rFonts w:hint="eastAsia" w:ascii="宋体" w:hAnsi="宋体" w:cs="宋体"/>
          <w:b/>
          <w:color w:val="auto"/>
          <w:kern w:val="2"/>
          <w:sz w:val="24"/>
          <w:szCs w:val="24"/>
          <w:highlight w:val="none"/>
          <w:lang w:val="en-US" w:eastAsia="zh-CN" w:bidi="ar-SA"/>
        </w:rPr>
        <w:t>、质保期及其他要求</w:t>
      </w:r>
      <w:r>
        <w:rPr>
          <w:rFonts w:hint="eastAsia" w:ascii="宋体" w:hAnsi="宋体" w:eastAsia="宋体" w:cs="宋体"/>
          <w:b/>
          <w:color w:val="auto"/>
          <w:kern w:val="2"/>
          <w:sz w:val="24"/>
          <w:szCs w:val="24"/>
          <w:highlight w:val="none"/>
          <w:lang w:val="en-US" w:eastAsia="zh-CN" w:bidi="ar-SA"/>
        </w:rPr>
        <w:t>：</w:t>
      </w:r>
    </w:p>
    <w:p w14:paraId="0F26BAD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b w:val="0"/>
          <w:bCs/>
          <w:color w:val="auto"/>
          <w:kern w:val="2"/>
          <w:sz w:val="24"/>
          <w:szCs w:val="24"/>
          <w:highlight w:val="none"/>
          <w:lang w:val="en-US" w:eastAsia="zh-CN" w:bidi="ar-SA"/>
        </w:rPr>
        <w:t>付款方式</w:t>
      </w:r>
      <w:r>
        <w:rPr>
          <w:rFonts w:hint="eastAsia" w:ascii="宋体" w:hAnsi="宋体" w:eastAsia="宋体" w:cs="宋体"/>
          <w:b w:val="0"/>
          <w:bCs/>
          <w:color w:val="auto"/>
          <w:kern w:val="2"/>
          <w:sz w:val="24"/>
          <w:szCs w:val="24"/>
          <w:highlight w:val="none"/>
          <w:u w:val="none"/>
          <w:lang w:val="en-US" w:eastAsia="zh-CN" w:bidi="ar-SA"/>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w:t>
      </w:r>
    </w:p>
    <w:p w14:paraId="23BFDFFE">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质保期：</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643FE41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default" w:ascii="宋体" w:hAnsi="宋体" w:eastAsia="宋体" w:cs="宋体"/>
          <w:i w:val="0"/>
          <w:iCs w:val="0"/>
          <w:color w:val="auto"/>
          <w:sz w:val="24"/>
          <w:highlight w:val="none"/>
          <w:lang w:val="en-US" w:eastAsia="zh-CN"/>
        </w:rPr>
      </w:pPr>
      <w:r>
        <w:rPr>
          <w:rFonts w:hint="eastAsia" w:ascii="宋体" w:hAnsi="宋体" w:eastAsia="宋体" w:cs="宋体"/>
          <w:i w:val="0"/>
          <w:iCs w:val="0"/>
          <w:color w:val="auto"/>
          <w:sz w:val="24"/>
          <w:highlight w:val="none"/>
          <w:lang w:val="en-US" w:eastAsia="zh-CN"/>
        </w:rPr>
        <w:t>其他要求：</w:t>
      </w:r>
      <w:r>
        <w:rPr>
          <w:rFonts w:hint="eastAsia" w:ascii="宋体" w:hAnsi="宋体" w:eastAsia="宋体" w:cs="宋体"/>
          <w:i w:val="0"/>
          <w:iCs w:val="0"/>
          <w:color w:val="auto"/>
          <w:sz w:val="24"/>
          <w:highlight w:val="none"/>
          <w:u w:val="single"/>
          <w:lang w:val="en-US" w:eastAsia="zh-CN"/>
        </w:rPr>
        <w:t xml:space="preserve">                        </w:t>
      </w:r>
      <w:r>
        <w:rPr>
          <w:rFonts w:hint="eastAsia" w:ascii="宋体" w:hAnsi="宋体" w:eastAsia="宋体" w:cs="宋体"/>
          <w:i w:val="0"/>
          <w:iCs w:val="0"/>
          <w:color w:val="auto"/>
          <w:sz w:val="24"/>
          <w:highlight w:val="none"/>
          <w:lang w:val="en-US" w:eastAsia="zh-CN"/>
        </w:rPr>
        <w:t>。</w:t>
      </w:r>
    </w:p>
    <w:p w14:paraId="410B2915">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六、甲方的权利与义务</w:t>
      </w:r>
    </w:p>
    <w:p w14:paraId="51321C1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1、甲方协助乙方做好本项目准备工作，包括前期的组织、协调工作；</w:t>
      </w:r>
    </w:p>
    <w:p w14:paraId="16C076CD">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2、甲方应按照国家法律、法规的规定及本合同的约定编制规划，为乙方的工作提供方便。</w:t>
      </w:r>
    </w:p>
    <w:p w14:paraId="794FFE28">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3、甲方应按照合同要求，向乙方及时支付费用。</w:t>
      </w:r>
    </w:p>
    <w:p w14:paraId="7BC6DA77">
      <w:pPr>
        <w:pStyle w:val="4"/>
        <w:spacing w:before="161"/>
        <w:ind w:left="0" w:leftChars="0" w:firstLine="0" w:firstLineChars="0"/>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七、乙方的权利与义务</w:t>
      </w:r>
    </w:p>
    <w:p w14:paraId="41D13D03">
      <w:pPr>
        <w:pStyle w:val="1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 w:val="0"/>
          <w:bCs/>
          <w:color w:val="auto"/>
          <w:kern w:val="1"/>
          <w:sz w:val="24"/>
          <w:highlight w:val="none"/>
          <w:lang w:val="en-US" w:eastAsia="zh-CN"/>
        </w:rPr>
      </w:pPr>
      <w:r>
        <w:rPr>
          <w:rFonts w:hint="eastAsia" w:ascii="宋体" w:hAnsi="宋体" w:eastAsia="宋体" w:cs="宋体"/>
          <w:b w:val="0"/>
          <w:bCs/>
          <w:color w:val="auto"/>
          <w:kern w:val="1"/>
          <w:sz w:val="24"/>
          <w:highlight w:val="none"/>
          <w:lang w:val="en-US" w:eastAsia="zh-CN"/>
        </w:rPr>
        <w:t>1、从项目开始至项目结束，乙方应确保项目质量达到合格标准。</w:t>
      </w:r>
    </w:p>
    <w:p w14:paraId="1A80198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val="0"/>
          <w:bCs/>
          <w:color w:val="auto"/>
          <w:kern w:val="1"/>
          <w:sz w:val="24"/>
          <w:highlight w:val="none"/>
          <w:lang w:val="en-US" w:eastAsia="zh-CN"/>
        </w:rPr>
        <w:t>2、乙方有义务向甲方提供进度安排，如因客观原因进度需要变更，乙方必须提前通知甲方。</w:t>
      </w:r>
    </w:p>
    <w:p w14:paraId="2644BFC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八、乙方的</w:t>
      </w:r>
      <w:r>
        <w:rPr>
          <w:rFonts w:hint="eastAsia" w:ascii="宋体" w:hAnsi="宋体" w:eastAsia="宋体" w:cs="宋体"/>
          <w:b/>
          <w:color w:val="auto"/>
          <w:sz w:val="24"/>
          <w:szCs w:val="24"/>
          <w:highlight w:val="none"/>
          <w:lang w:val="en-US" w:eastAsia="zh-CN"/>
        </w:rPr>
        <w:fldChar w:fldCharType="begin"/>
      </w:r>
      <w:r>
        <w:rPr>
          <w:rFonts w:hint="eastAsia" w:ascii="宋体" w:hAnsi="宋体" w:eastAsia="宋体" w:cs="宋体"/>
          <w:b/>
          <w:color w:val="auto"/>
          <w:sz w:val="24"/>
          <w:szCs w:val="24"/>
          <w:highlight w:val="none"/>
          <w:lang w:val="en-US" w:eastAsia="zh-CN"/>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sz w:val="24"/>
          <w:szCs w:val="24"/>
          <w:highlight w:val="none"/>
          <w:lang w:val="en-US" w:eastAsia="zh-CN"/>
        </w:rPr>
        <w:fldChar w:fldCharType="separate"/>
      </w:r>
      <w:r>
        <w:rPr>
          <w:rFonts w:hint="eastAsia" w:ascii="宋体" w:hAnsi="宋体" w:eastAsia="宋体" w:cs="宋体"/>
          <w:b/>
          <w:color w:val="auto"/>
          <w:sz w:val="24"/>
          <w:szCs w:val="24"/>
          <w:highlight w:val="none"/>
          <w:lang w:val="en-US" w:eastAsia="zh-CN"/>
        </w:rPr>
        <w:t>违约责任</w:t>
      </w:r>
      <w:r>
        <w:rPr>
          <w:rFonts w:hint="eastAsia" w:ascii="宋体" w:hAnsi="宋体" w:eastAsia="宋体" w:cs="宋体"/>
          <w:b/>
          <w:color w:val="auto"/>
          <w:sz w:val="24"/>
          <w:szCs w:val="24"/>
          <w:highlight w:val="none"/>
          <w:lang w:val="en-US" w:eastAsia="zh-CN"/>
        </w:rPr>
        <w:fldChar w:fldCharType="end"/>
      </w:r>
      <w:r>
        <w:rPr>
          <w:rFonts w:hint="eastAsia" w:ascii="宋体" w:hAnsi="宋体" w:eastAsia="宋体" w:cs="宋体"/>
          <w:b/>
          <w:color w:val="auto"/>
          <w:sz w:val="24"/>
          <w:szCs w:val="24"/>
          <w:highlight w:val="none"/>
          <w:lang w:val="en-US" w:eastAsia="zh-CN"/>
        </w:rPr>
        <w:t>：</w:t>
      </w:r>
    </w:p>
    <w:p w14:paraId="1DE0FE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1、乙方不能按期交货的，每逾期1日，乙方应向甲方赔付合同总价的</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   </w:t>
      </w:r>
      <w:r>
        <w:rPr>
          <w:rFonts w:hint="eastAsia" w:ascii="宋体" w:hAnsi="宋体" w:eastAsia="宋体" w:cs="宋体"/>
          <w:color w:val="auto"/>
          <w:kern w:val="0"/>
          <w:sz w:val="24"/>
          <w:szCs w:val="24"/>
          <w:highlight w:val="none"/>
        </w:rPr>
        <w:t>作为违约金。</w:t>
      </w:r>
    </w:p>
    <w:p w14:paraId="4441E441">
      <w:pPr>
        <w:keepNext w:val="0"/>
        <w:keepLines w:val="0"/>
        <w:pageBreakBefore w:val="0"/>
        <w:widowControl w:val="0"/>
        <w:kinsoku/>
        <w:wordWrap/>
        <w:overflowPunct/>
        <w:topLinePunct w:val="0"/>
        <w:autoSpaceDE/>
        <w:autoSpaceDN/>
        <w:bidi w:val="0"/>
        <w:adjustRightInd/>
        <w:snapToGrid/>
        <w:spacing w:line="360" w:lineRule="auto"/>
        <w:ind w:right="-195" w:rightChars="-93"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2、乙方所交</w:t>
      </w:r>
      <w:r>
        <w:rPr>
          <w:rFonts w:hint="eastAsia" w:ascii="宋体" w:hAnsi="宋体" w:eastAsia="宋体" w:cs="宋体"/>
          <w:color w:val="auto"/>
          <w:kern w:val="0"/>
          <w:sz w:val="24"/>
          <w:szCs w:val="24"/>
          <w:highlight w:val="none"/>
          <w:lang w:val="en-US" w:eastAsia="zh-CN"/>
        </w:rPr>
        <w:t>货物</w:t>
      </w:r>
      <w:r>
        <w:rPr>
          <w:rFonts w:hint="eastAsia" w:ascii="宋体" w:hAnsi="宋体" w:eastAsia="宋体" w:cs="宋体"/>
          <w:color w:val="auto"/>
          <w:kern w:val="0"/>
          <w:sz w:val="24"/>
          <w:szCs w:val="24"/>
          <w:highlight w:val="none"/>
        </w:rPr>
        <w:t>不符合国家法律法规和合同规定的，甲方有权拒收，并由乙方承担一切费用。</w:t>
      </w:r>
    </w:p>
    <w:p w14:paraId="1D60FCD0">
      <w:pPr>
        <w:pStyle w:val="14"/>
        <w:keepNext w:val="0"/>
        <w:keepLines w:val="0"/>
        <w:pageBreakBefore w:val="0"/>
        <w:widowControl w:val="0"/>
        <w:tabs>
          <w:tab w:val="left" w:pos="1480"/>
        </w:tabs>
        <w:kinsoku/>
        <w:wordWrap/>
        <w:overflowPunct/>
        <w:topLinePunct w:val="0"/>
        <w:autoSpaceDE/>
        <w:autoSpaceDN/>
        <w:bidi w:val="0"/>
        <w:adjustRightInd/>
        <w:snapToGrid/>
        <w:spacing w:line="520" w:lineRule="exact"/>
        <w:ind w:left="0" w:leftChars="0" w:firstLine="0" w:firstLineChars="0"/>
        <w:textAlignment w:val="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九、甲方的</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违约责任</w:t>
      </w:r>
      <w:r>
        <w:rPr>
          <w:rFonts w:hint="eastAsia" w:ascii="宋体" w:hAnsi="宋体" w:eastAsia="宋体" w:cs="宋体"/>
          <w:b/>
          <w:color w:val="auto"/>
          <w:kern w:val="2"/>
          <w:sz w:val="24"/>
          <w:szCs w:val="24"/>
          <w:highlight w:val="none"/>
          <w:lang w:val="en-US" w:eastAsia="zh-CN" w:bidi="ar-SA"/>
        </w:rPr>
        <w:fldChar w:fldCharType="end"/>
      </w:r>
      <w:r>
        <w:rPr>
          <w:rFonts w:hint="eastAsia" w:ascii="宋体" w:hAnsi="宋体" w:eastAsia="宋体" w:cs="宋体"/>
          <w:b/>
          <w:color w:val="auto"/>
          <w:kern w:val="2"/>
          <w:sz w:val="24"/>
          <w:szCs w:val="24"/>
          <w:highlight w:val="none"/>
          <w:lang w:val="en-US" w:eastAsia="zh-CN" w:bidi="ar-SA"/>
        </w:rPr>
        <w:t>：</w:t>
      </w:r>
    </w:p>
    <w:p w14:paraId="0C9662D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甲方违反合同规定拒绝接货的，原服务期限相应顺延。</w:t>
      </w:r>
    </w:p>
    <w:p w14:paraId="33B115A6">
      <w:pPr>
        <w:spacing w:line="360" w:lineRule="auto"/>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十、技术服务承诺</w:t>
      </w:r>
    </w:p>
    <w:p w14:paraId="2D6049FA">
      <w:pPr>
        <w:pStyle w:val="7"/>
        <w:spacing w:before="0" w:beforeAutospacing="0" w:after="120" w:afterAutospacing="0" w:line="360" w:lineRule="auto"/>
        <w:ind w:firstLine="420" w:firstLineChars="175"/>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1、乙方负责提供产品相应的技术资料，包括产品合格证、产品保修单、安装使用及维护说明书以及运输装箱清单等。</w:t>
      </w:r>
    </w:p>
    <w:p w14:paraId="116CE7E5">
      <w:pPr>
        <w:spacing w:line="360" w:lineRule="auto"/>
        <w:ind w:firstLine="480" w:firstLineChars="20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2、人员培训：乙方免费为甲方培训产品使用人员，培训内容包括：产品操作、维护、简单维修等。</w:t>
      </w:r>
    </w:p>
    <w:p w14:paraId="4B95C32E">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2"/>
          <w:sz w:val="24"/>
          <w:szCs w:val="24"/>
          <w:highlight w:val="none"/>
          <w:lang w:val="en-US" w:eastAsia="zh-CN" w:bidi="ar-SA"/>
        </w:rPr>
        <w:t>3、售后服务：</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w:t>
      </w:r>
    </w:p>
    <w:p w14:paraId="7E880F61">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十一、验收方法及标准</w:t>
      </w:r>
    </w:p>
    <w:p w14:paraId="53792BB7">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 xml:space="preserve">验收标准：以国家标准、行业标准或合同文本供货清单中描述的有关技术要求为准。 </w:t>
      </w:r>
    </w:p>
    <w:p w14:paraId="5728D631">
      <w:pPr>
        <w:widowControl/>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验收方法：</w:t>
      </w:r>
    </w:p>
    <w:p w14:paraId="5830F60F">
      <w:pPr>
        <w:widowControl/>
        <w:numPr>
          <w:ilvl w:val="0"/>
          <w:numId w:val="0"/>
        </w:numPr>
        <w:spacing w:line="360" w:lineRule="auto"/>
        <w:ind w:right="-195" w:rightChars="-93"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lang w:val="en-US" w:eastAsia="zh-CN" w:bidi="ar-SA"/>
        </w:rPr>
        <w:t>1、</w:t>
      </w:r>
      <w:r>
        <w:rPr>
          <w:rFonts w:hint="eastAsia" w:ascii="宋体" w:hAnsi="宋体" w:eastAsia="宋体" w:cs="宋体"/>
          <w:color w:val="auto"/>
          <w:kern w:val="0"/>
          <w:sz w:val="24"/>
          <w:szCs w:val="24"/>
          <w:highlight w:val="none"/>
          <w:lang w:val="en-US" w:eastAsia="zh-CN"/>
        </w:rPr>
        <w:t>初验：货物到达交货地点后，由使用单位根据合同对货物 (设备) 的名称、品牌、规格、型号、产地、数量进行检查。</w:t>
      </w:r>
    </w:p>
    <w:p w14:paraId="1E3A274C">
      <w:pPr>
        <w:widowControl/>
        <w:numPr>
          <w:ilvl w:val="0"/>
          <w:numId w:val="0"/>
        </w:numPr>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2、终验：所有货物(设备)安装、调试完毕，正常使用30个日历日后，由采购人进行终验 (最终验收) ，合格后签发《终验合格单》。</w:t>
      </w:r>
    </w:p>
    <w:p w14:paraId="71FAF5D4">
      <w:pPr>
        <w:pStyle w:val="14"/>
        <w:tabs>
          <w:tab w:val="left" w:pos="1480"/>
        </w:tabs>
        <w:spacing w:line="520" w:lineRule="exact"/>
        <w:ind w:left="0" w:leftChars="0" w:firstLine="482" w:firstLineChars="20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十二、</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不可抗力</w:t>
      </w:r>
      <w:r>
        <w:rPr>
          <w:rFonts w:hint="eastAsia" w:ascii="宋体" w:hAnsi="宋体" w:eastAsia="宋体" w:cs="宋体"/>
          <w:b/>
          <w:color w:val="auto"/>
          <w:kern w:val="2"/>
          <w:sz w:val="24"/>
          <w:szCs w:val="24"/>
          <w:highlight w:val="none"/>
          <w:lang w:val="en-US" w:eastAsia="zh-CN" w:bidi="ar-SA"/>
        </w:rPr>
        <w:fldChar w:fldCharType="end"/>
      </w:r>
    </w:p>
    <w:p w14:paraId="6285C80C">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1、在合同有效期内，任何一方因不可抗力事件导致不能履行合同，则合同履行期可延长，其延长期与不可抗力影响期相同。</w:t>
      </w:r>
    </w:p>
    <w:p w14:paraId="35FBD573">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2、不可抗力事件发生后，应立即通知对方，并寄送有关权威机构出具的证明。</w:t>
      </w:r>
    </w:p>
    <w:p w14:paraId="32155CF8">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3、因国家政策调整或单位职能调整导致合同无法正常履行，双方可协商终止合同。</w:t>
      </w:r>
    </w:p>
    <w:p w14:paraId="406037A2">
      <w:pPr>
        <w:widowControl/>
        <w:spacing w:line="360" w:lineRule="auto"/>
        <w:ind w:right="-195" w:rightChars="-93"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4、不可抗力事件延续90天以上，双方应通过友好协商，确定是否继续履行合同。</w:t>
      </w:r>
    </w:p>
    <w:p w14:paraId="26519291">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十三、争议解决</w:t>
      </w:r>
    </w:p>
    <w:p w14:paraId="4493ADD0">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双方本着友好合作的态度,对合同履行过程中发生的</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纠纷</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应及时协商解决,协商不成，</w:t>
      </w:r>
      <w:r>
        <w:rPr>
          <w:rFonts w:hint="eastAsia" w:ascii="宋体" w:hAnsi="宋体" w:eastAsia="宋体" w:cs="宋体"/>
          <w:color w:val="auto"/>
          <w:sz w:val="24"/>
          <w:szCs w:val="24"/>
          <w:highlight w:val="none"/>
        </w:rPr>
        <w:t>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6F93C765">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向甲方所在地有管辖权的人民法院诉讼解决</w:t>
      </w:r>
    </w:p>
    <w:p w14:paraId="05AF0A9C">
      <w:pPr>
        <w:widowControl/>
        <w:numPr>
          <w:ilvl w:val="0"/>
          <w:numId w:val="2"/>
        </w:numPr>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提请</w:t>
      </w:r>
      <w:r>
        <w:rPr>
          <w:rFonts w:hint="eastAsia" w:ascii="宋体" w:hAnsi="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仲裁机构进行仲裁</w:t>
      </w:r>
      <w:r>
        <w:rPr>
          <w:rFonts w:hint="eastAsia" w:ascii="宋体" w:hAnsi="宋体" w:eastAsia="宋体" w:cs="宋体"/>
          <w:color w:val="auto"/>
          <w:kern w:val="0"/>
          <w:sz w:val="24"/>
          <w:szCs w:val="24"/>
          <w:highlight w:val="none"/>
        </w:rPr>
        <w:t>。</w:t>
      </w:r>
    </w:p>
    <w:p w14:paraId="77FE4FD9">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十四、监督和管理</w:t>
      </w:r>
    </w:p>
    <w:p w14:paraId="45D75F9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1、政府采购合同履行中，采购人需追加与合同标的相同的货物、工程或者服务的，在不改变合同其他条款的前提下，可以与</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协商签订补充合同，但所有补充合同的采购金额不得超过原合同采购金额的10%。</w:t>
      </w:r>
    </w:p>
    <w:p w14:paraId="21E9E7A9">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2、甲乙双方均应自觉配合有关监督管理部门对</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合同履行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情况的监督检查，如实反映情况，提供有关资料；否则，将对有关单位、当事人按照有关规定予以处罚。</w:t>
      </w:r>
    </w:p>
    <w:p w14:paraId="539F8124">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十五、</w:t>
      </w:r>
      <w:r>
        <w:rPr>
          <w:rFonts w:hint="eastAsia" w:ascii="宋体" w:hAnsi="宋体" w:eastAsia="宋体" w:cs="宋体"/>
          <w:b/>
          <w:color w:val="auto"/>
          <w:kern w:val="2"/>
          <w:sz w:val="24"/>
          <w:szCs w:val="24"/>
          <w:highlight w:val="none"/>
          <w:lang w:val="en-US" w:eastAsia="zh-CN" w:bidi="ar-SA"/>
        </w:rPr>
        <w:fldChar w:fldCharType="begin"/>
      </w:r>
      <w:r>
        <w:rPr>
          <w:rFonts w:hint="eastAsia" w:ascii="宋体" w:hAnsi="宋体" w:eastAsia="宋体" w:cs="宋体"/>
          <w:b/>
          <w:color w:val="auto"/>
          <w:kern w:val="2"/>
          <w:sz w:val="24"/>
          <w:szCs w:val="24"/>
          <w:highlight w:val="none"/>
          <w:lang w:val="en-US" w:eastAsia="zh-CN" w:bidi="ar-SA"/>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color w:val="auto"/>
          <w:kern w:val="2"/>
          <w:sz w:val="24"/>
          <w:szCs w:val="24"/>
          <w:highlight w:val="none"/>
          <w:lang w:val="en-US" w:eastAsia="zh-CN" w:bidi="ar-SA"/>
        </w:rPr>
        <w:fldChar w:fldCharType="separate"/>
      </w:r>
      <w:r>
        <w:rPr>
          <w:rFonts w:hint="eastAsia" w:ascii="宋体" w:hAnsi="宋体" w:eastAsia="宋体" w:cs="宋体"/>
          <w:b/>
          <w:color w:val="auto"/>
          <w:kern w:val="2"/>
          <w:sz w:val="24"/>
          <w:szCs w:val="24"/>
          <w:highlight w:val="none"/>
          <w:lang w:val="en-US" w:eastAsia="zh-CN" w:bidi="ar-SA"/>
        </w:rPr>
        <w:t>无效合同</w:t>
      </w:r>
      <w:r>
        <w:rPr>
          <w:rFonts w:hint="eastAsia" w:ascii="宋体" w:hAnsi="宋体" w:eastAsia="宋体" w:cs="宋体"/>
          <w:b/>
          <w:color w:val="auto"/>
          <w:kern w:val="2"/>
          <w:sz w:val="24"/>
          <w:szCs w:val="24"/>
          <w:highlight w:val="none"/>
          <w:lang w:val="en-US" w:eastAsia="zh-CN" w:bidi="ar-SA"/>
        </w:rPr>
        <w:fldChar w:fldCharType="end"/>
      </w:r>
    </w:p>
    <w:p w14:paraId="106445CF">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甲乙双方如因违反政府采购法及相关法律法规的规定，被宣告</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合同无效</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的，一切责任概由过错方自行承担。</w:t>
      </w:r>
    </w:p>
    <w:p w14:paraId="5DDB97BE">
      <w:pPr>
        <w:pStyle w:val="14"/>
        <w:tabs>
          <w:tab w:val="left" w:pos="1480"/>
        </w:tabs>
        <w:spacing w:line="520" w:lineRule="exact"/>
        <w:ind w:left="0" w:leftChars="0" w:firstLine="0" w:firstLineChars="0"/>
        <w:rPr>
          <w:rFonts w:hint="eastAsia" w:ascii="宋体" w:hAnsi="宋体" w:eastAsia="宋体" w:cs="宋体"/>
          <w:b/>
          <w:color w:val="auto"/>
          <w:kern w:val="2"/>
          <w:sz w:val="24"/>
          <w:szCs w:val="24"/>
          <w:highlight w:val="none"/>
          <w:lang w:val="en-US" w:eastAsia="zh-CN" w:bidi="ar-SA"/>
        </w:rPr>
      </w:pPr>
      <w:r>
        <w:rPr>
          <w:rFonts w:hint="eastAsia" w:ascii="宋体" w:hAnsi="宋体" w:eastAsia="宋体" w:cs="宋体"/>
          <w:b/>
          <w:color w:val="auto"/>
          <w:kern w:val="2"/>
          <w:sz w:val="24"/>
          <w:szCs w:val="24"/>
          <w:highlight w:val="none"/>
          <w:lang w:val="en-US" w:eastAsia="zh-CN" w:bidi="ar-SA"/>
        </w:rPr>
        <w:t>十六、附则</w:t>
      </w:r>
    </w:p>
    <w:p w14:paraId="3FEA5C72">
      <w:pPr>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cs="宋体"/>
          <w:color w:val="auto"/>
          <w:sz w:val="24"/>
          <w:szCs w:val="24"/>
          <w:highlight w:val="none"/>
          <w:u w:val="single"/>
          <w:lang w:val="en-US" w:eastAsia="zh-CN"/>
        </w:rPr>
        <w:t>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项目</w:t>
      </w:r>
      <w:r>
        <w:rPr>
          <w:rFonts w:hint="eastAsia" w:ascii="宋体" w:hAnsi="宋体" w:eastAsia="宋体" w:cs="宋体"/>
          <w:color w:val="auto"/>
          <w:sz w:val="24"/>
          <w:szCs w:val="24"/>
          <w:highlight w:val="none"/>
        </w:rPr>
        <w:t>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的</w:t>
      </w:r>
      <w:r>
        <w:rPr>
          <w:rFonts w:hint="eastAsia" w:ascii="宋体" w:hAnsi="宋体" w:cs="宋体"/>
          <w:color w:val="auto"/>
          <w:spacing w:val="-6"/>
          <w:sz w:val="24"/>
          <w:szCs w:val="24"/>
          <w:highlight w:val="none"/>
          <w:lang w:val="en-US" w:eastAsia="zh-CN"/>
        </w:rPr>
        <w:t>招标文件</w:t>
      </w:r>
      <w:r>
        <w:rPr>
          <w:rFonts w:hint="eastAsia" w:ascii="宋体" w:hAnsi="宋体" w:eastAsia="宋体" w:cs="宋体"/>
          <w:color w:val="auto"/>
          <w:kern w:val="0"/>
          <w:sz w:val="24"/>
          <w:szCs w:val="24"/>
          <w:highlight w:val="none"/>
        </w:rPr>
        <w:t>、乙方</w:t>
      </w:r>
      <w:r>
        <w:rPr>
          <w:rFonts w:hint="eastAsia" w:ascii="宋体" w:hAnsi="宋体" w:cs="宋体"/>
          <w:color w:val="auto"/>
          <w:kern w:val="0"/>
          <w:sz w:val="24"/>
          <w:szCs w:val="24"/>
          <w:highlight w:val="none"/>
          <w:lang w:val="en-US" w:eastAsia="zh-CN"/>
        </w:rPr>
        <w:t>投标</w:t>
      </w:r>
      <w:r>
        <w:rPr>
          <w:rFonts w:hint="eastAsia" w:ascii="宋体" w:hAnsi="宋体" w:eastAsia="宋体" w:cs="宋体"/>
          <w:color w:val="auto"/>
          <w:kern w:val="0"/>
          <w:sz w:val="24"/>
          <w:szCs w:val="24"/>
          <w:highlight w:val="none"/>
          <w:lang w:val="en-US" w:eastAsia="zh-CN"/>
        </w:rPr>
        <w:t>文件</w:t>
      </w:r>
      <w:r>
        <w:rPr>
          <w:rFonts w:hint="eastAsia" w:ascii="宋体" w:hAnsi="宋体" w:eastAsia="宋体" w:cs="宋体"/>
          <w:color w:val="auto"/>
          <w:kern w:val="0"/>
          <w:sz w:val="24"/>
          <w:szCs w:val="24"/>
          <w:highlight w:val="none"/>
        </w:rPr>
        <w:t>、</w:t>
      </w:r>
      <w:r>
        <w:rPr>
          <w:rFonts w:hint="eastAsia" w:ascii="宋体" w:hAnsi="宋体" w:cs="宋体"/>
          <w:color w:val="auto"/>
          <w:kern w:val="0"/>
          <w:sz w:val="24"/>
          <w:szCs w:val="24"/>
          <w:highlight w:val="none"/>
          <w:lang w:val="en-US" w:eastAsia="zh-CN"/>
        </w:rPr>
        <w:t>中标（</w:t>
      </w:r>
      <w:r>
        <w:rPr>
          <w:rFonts w:hint="eastAsia" w:ascii="宋体" w:hAnsi="宋体" w:eastAsia="宋体" w:cs="宋体"/>
          <w:color w:val="auto"/>
          <w:kern w:val="0"/>
          <w:sz w:val="24"/>
          <w:szCs w:val="24"/>
          <w:highlight w:val="none"/>
          <w:lang w:val="en-US" w:eastAsia="zh-CN"/>
        </w:rPr>
        <w:t>成交</w:t>
      </w:r>
      <w:r>
        <w:rPr>
          <w:rFonts w:hint="eastAsia" w:ascii="宋体" w:hAnsi="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通知书及澄清说明文件都是本合同的组成部分，甲、乙双方必须全面遵守，如有违反，应承担违约责任。</w:t>
      </w:r>
    </w:p>
    <w:p w14:paraId="714A6C4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2、本合同一式四份,甲乙双方各执</w:t>
      </w:r>
      <w:r>
        <w:rPr>
          <w:rFonts w:hint="eastAsia" w:ascii="宋体" w:hAnsi="宋体" w:eastAsia="宋体" w:cs="宋体"/>
          <w:color w:val="auto"/>
          <w:kern w:val="0"/>
          <w:sz w:val="24"/>
          <w:szCs w:val="24"/>
          <w:highlight w:val="none"/>
          <w:lang w:val="en-US" w:eastAsia="zh-CN"/>
        </w:rPr>
        <w:t>两</w:t>
      </w:r>
      <w:r>
        <w:rPr>
          <w:rFonts w:hint="eastAsia" w:ascii="宋体" w:hAnsi="宋体" w:eastAsia="宋体" w:cs="宋体"/>
          <w:color w:val="auto"/>
          <w:kern w:val="0"/>
          <w:sz w:val="24"/>
          <w:szCs w:val="24"/>
          <w:highlight w:val="none"/>
        </w:rPr>
        <w:t>份。</w:t>
      </w:r>
    </w:p>
    <w:p w14:paraId="6387717D">
      <w:pPr>
        <w:widowControl/>
        <w:spacing w:line="360" w:lineRule="auto"/>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3、本合同自签订之日起生效。</w:t>
      </w:r>
    </w:p>
    <w:p w14:paraId="31DDA982">
      <w:pPr>
        <w:pStyle w:val="2"/>
        <w:rPr>
          <w:rFonts w:hint="eastAsia" w:ascii="宋体" w:hAnsi="宋体" w:eastAsia="宋体" w:cs="宋体"/>
          <w:color w:val="auto"/>
          <w:highlight w:val="none"/>
        </w:rPr>
      </w:pPr>
    </w:p>
    <w:p w14:paraId="121252F9">
      <w:pPr>
        <w:pStyle w:val="3"/>
        <w:rPr>
          <w:rFonts w:hint="eastAsia"/>
        </w:rPr>
      </w:pPr>
    </w:p>
    <w:p w14:paraId="1EE25DB4">
      <w:pPr>
        <w:widowControl/>
        <w:spacing w:line="360" w:lineRule="auto"/>
        <w:jc w:val="left"/>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采购人(甲方)：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w:t>
      </w:r>
      <w:bookmarkStart w:id="3" w:name="_GoBack"/>
      <w:r>
        <w:rPr>
          <w:rFonts w:hint="eastAsia" w:ascii="宋体" w:hAnsi="宋体" w:eastAsia="宋体" w:cs="宋体"/>
          <w:color w:val="auto"/>
          <w:kern w:val="0"/>
          <w:sz w:val="24"/>
          <w:szCs w:val="24"/>
          <w:highlight w:val="none"/>
          <w:lang w:val="en-US" w:eastAsia="zh-CN"/>
        </w:rPr>
        <w:t xml:space="preserve">   </w:t>
      </w:r>
      <w:r>
        <w:rPr>
          <w:rFonts w:hint="eastAsia" w:ascii="宋体" w:hAnsi="宋体" w:cs="宋体"/>
          <w:color w:val="auto"/>
          <w:kern w:val="0"/>
          <w:sz w:val="24"/>
          <w:szCs w:val="24"/>
          <w:highlight w:val="none"/>
          <w:lang w:val="en-US" w:eastAsia="zh-CN"/>
        </w:rPr>
        <w:t>投标人</w:t>
      </w:r>
      <w:r>
        <w:rPr>
          <w:rFonts w:hint="eastAsia" w:ascii="宋体" w:hAnsi="宋体" w:eastAsia="宋体" w:cs="宋体"/>
          <w:color w:val="auto"/>
          <w:kern w:val="0"/>
          <w:sz w:val="24"/>
          <w:szCs w:val="24"/>
          <w:highlight w:val="none"/>
        </w:rPr>
        <w:t>(乙</w:t>
      </w:r>
      <w:bookmarkEnd w:id="3"/>
      <w:r>
        <w:rPr>
          <w:rFonts w:hint="eastAsia" w:ascii="宋体" w:hAnsi="宋体" w:eastAsia="宋体" w:cs="宋体"/>
          <w:color w:val="auto"/>
          <w:kern w:val="0"/>
          <w:sz w:val="24"/>
          <w:szCs w:val="24"/>
          <w:highlight w:val="none"/>
        </w:rPr>
        <w:t>方)：</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盖章</w:t>
      </w:r>
      <w:r>
        <w:rPr>
          <w:rFonts w:hint="eastAsia" w:ascii="宋体" w:hAnsi="宋体" w:eastAsia="宋体" w:cs="宋体"/>
          <w:color w:val="auto"/>
          <w:kern w:val="0"/>
          <w:sz w:val="24"/>
          <w:szCs w:val="24"/>
          <w:highlight w:val="none"/>
          <w:u w:val="single"/>
          <w:lang w:eastAsia="zh-CN"/>
        </w:rPr>
        <w:t>）</w:t>
      </w:r>
    </w:p>
    <w:p w14:paraId="2A2F21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 xml:space="preserve">或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法定代表人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lang w:val="en-US" w:eastAsia="zh-CN"/>
        </w:rPr>
        <w:t>或</w:t>
      </w:r>
    </w:p>
    <w:p w14:paraId="6ACC61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lang w:val="en-US" w:eastAsia="zh-CN"/>
        </w:rPr>
        <w:t xml:space="preserve">   其</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委托代理人</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签字或盖章</w:t>
      </w:r>
      <w:r>
        <w:rPr>
          <w:rFonts w:hint="eastAsia" w:ascii="宋体" w:hAnsi="宋体" w:eastAsia="宋体" w:cs="宋体"/>
          <w:color w:val="auto"/>
          <w:kern w:val="0"/>
          <w:sz w:val="24"/>
          <w:szCs w:val="24"/>
          <w:highlight w:val="none"/>
          <w:u w:val="single"/>
          <w:lang w:eastAsia="zh-CN"/>
        </w:rPr>
        <w:t>）</w:t>
      </w:r>
    </w:p>
    <w:p w14:paraId="3FBBA7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4"/>
          <w:szCs w:val="24"/>
          <w:highlight w:val="none"/>
        </w:rPr>
        <w:t>开户银行</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21A6E9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帐    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0E4C73E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3D69EB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地    址：</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p>
    <w:p w14:paraId="57874AAC">
      <w:pPr>
        <w:keepNext w:val="0"/>
        <w:keepLines w:val="0"/>
        <w:pageBreakBefore w:val="0"/>
        <w:widowControl/>
        <w:kinsoku/>
        <w:wordWrap/>
        <w:overflowPunct/>
        <w:topLinePunct w:val="0"/>
        <w:bidi w:val="0"/>
        <w:snapToGrid/>
        <w:spacing w:line="408"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时</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rPr>
        <w:t>日</w:t>
      </w:r>
    </w:p>
    <w:p w14:paraId="492E7F68">
      <w:pPr>
        <w:keepNext w:val="0"/>
        <w:keepLines w:val="0"/>
        <w:pageBreakBefore w:val="0"/>
        <w:kinsoku/>
        <w:wordWrap/>
        <w:overflowPunct/>
        <w:topLinePunct w:val="0"/>
        <w:bidi w:val="0"/>
        <w:snapToGrid/>
        <w:spacing w:line="408" w:lineRule="auto"/>
        <w:jc w:val="both"/>
        <w:textAlignment w:val="auto"/>
        <w:rPr>
          <w:rFonts w:hint="eastAsia" w:ascii="宋体" w:hAnsi="宋体" w:eastAsia="宋体" w:cs="宋体"/>
          <w:b/>
          <w:bCs/>
          <w:color w:val="auto"/>
          <w:sz w:val="24"/>
          <w:szCs w:val="24"/>
          <w:highlight w:val="none"/>
        </w:rPr>
      </w:pPr>
    </w:p>
    <w:p w14:paraId="18B228FD">
      <w:pPr>
        <w:keepNext w:val="0"/>
        <w:keepLines w:val="0"/>
        <w:pageBreakBefore w:val="0"/>
        <w:kinsoku/>
        <w:wordWrap/>
        <w:overflowPunct/>
        <w:topLinePunct w:val="0"/>
        <w:bidi w:val="0"/>
        <w:snapToGrid/>
        <w:spacing w:line="408" w:lineRule="auto"/>
        <w:ind w:firstLine="482" w:firstLineChars="200"/>
        <w:jc w:val="both"/>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注：本合同条款仅供参考，甲乙双方可根据实际情况进行补充</w:t>
      </w:r>
      <w:r>
        <w:rPr>
          <w:rFonts w:hint="eastAsia" w:ascii="宋体" w:hAnsi="宋体" w:eastAsia="宋体" w:cs="宋体"/>
          <w:b/>
          <w:bCs/>
          <w:color w:val="auto"/>
          <w:sz w:val="24"/>
          <w:szCs w:val="24"/>
          <w:highlight w:val="none"/>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D0D5A3"/>
    <w:multiLevelType w:val="singleLevel"/>
    <w:tmpl w:val="54D0D5A3"/>
    <w:lvl w:ilvl="0" w:tentative="0">
      <w:start w:val="5"/>
      <w:numFmt w:val="chineseCounting"/>
      <w:suff w:val="nothing"/>
      <w:lvlText w:val="%1、"/>
      <w:lvlJc w:val="left"/>
      <w:rPr>
        <w:rFonts w:hint="eastAsia"/>
      </w:rPr>
    </w:lvl>
  </w:abstractNum>
  <w:abstractNum w:abstractNumId="1">
    <w:nsid w:val="625CEF40"/>
    <w:multiLevelType w:val="singleLevel"/>
    <w:tmpl w:val="625CEF40"/>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910162"/>
    <w:rsid w:val="01564F52"/>
    <w:rsid w:val="0A8E1F88"/>
    <w:rsid w:val="127252C6"/>
    <w:rsid w:val="3ABC562C"/>
    <w:rsid w:val="47910162"/>
    <w:rsid w:val="4CDF1BF4"/>
    <w:rsid w:val="67DC3D6B"/>
    <w:rsid w:val="6F961CFB"/>
    <w:rsid w:val="76C149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nhideWhenUsed="0" w:uiPriority="1"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8"/>
    <w:basedOn w:val="1"/>
    <w:next w:val="1"/>
    <w:qFormat/>
    <w:uiPriority w:val="1"/>
    <w:pPr>
      <w:spacing w:before="1"/>
      <w:ind w:left="223"/>
      <w:outlineLvl w:val="7"/>
    </w:pPr>
    <w:rPr>
      <w:rFonts w:ascii="宋体" w:hAnsi="宋体" w:cs="宋体"/>
      <w:b/>
      <w:bCs/>
      <w:sz w:val="24"/>
      <w:szCs w:val="24"/>
      <w:lang w:val="zh-CN" w:bidi="zh-CN"/>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szCs w:val="18"/>
    </w:rPr>
  </w:style>
  <w:style w:type="paragraph" w:styleId="3">
    <w:name w:val="Body Text"/>
    <w:basedOn w:val="1"/>
    <w:next w:val="1"/>
    <w:qFormat/>
    <w:uiPriority w:val="99"/>
  </w:style>
  <w:style w:type="paragraph" w:styleId="5">
    <w:name w:val="Body Text Indent"/>
    <w:basedOn w:val="1"/>
    <w:next w:val="1"/>
    <w:unhideWhenUsed/>
    <w:qFormat/>
    <w:uiPriority w:val="99"/>
    <w:pPr>
      <w:ind w:left="420" w:leftChars="200"/>
    </w:pPr>
  </w:style>
  <w:style w:type="paragraph" w:styleId="6">
    <w:name w:val="toc 2"/>
    <w:basedOn w:val="1"/>
    <w:next w:val="1"/>
    <w:qFormat/>
    <w:uiPriority w:val="39"/>
    <w:pPr>
      <w:ind w:left="420" w:leftChars="200"/>
    </w:p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First Indent 2"/>
    <w:basedOn w:val="5"/>
    <w:next w:val="6"/>
    <w:qFormat/>
    <w:uiPriority w:val="0"/>
    <w:pPr>
      <w:ind w:firstLine="420" w:firstLineChars="200"/>
    </w:pPr>
  </w:style>
  <w:style w:type="paragraph" w:customStyle="1" w:styleId="11">
    <w:name w:val="Footer"/>
    <w:basedOn w:val="1"/>
    <w:autoRedefine/>
    <w:qFormat/>
    <w:uiPriority w:val="0"/>
    <w:pPr>
      <w:tabs>
        <w:tab w:val="center" w:pos="4153"/>
        <w:tab w:val="right" w:pos="8306"/>
      </w:tabs>
      <w:snapToGrid w:val="0"/>
      <w:jc w:val="left"/>
    </w:pPr>
    <w:rPr>
      <w:sz w:val="18"/>
      <w:szCs w:val="18"/>
    </w:rPr>
  </w:style>
  <w:style w:type="paragraph" w:customStyle="1" w:styleId="12">
    <w:name w:val="样式 首行缩进:  2 字符"/>
    <w:basedOn w:val="1"/>
    <w:autoRedefine/>
    <w:qFormat/>
    <w:uiPriority w:val="0"/>
    <w:pPr>
      <w:spacing w:line="400" w:lineRule="exact"/>
      <w:ind w:firstLine="200" w:firstLineChars="200"/>
    </w:pPr>
    <w:rPr>
      <w:rFonts w:cs="宋体" w:asciiTheme="minorHAnsi" w:hAnsiTheme="minorHAnsi" w:eastAsiaTheme="minorEastAsia"/>
      <w:sz w:val="24"/>
      <w:szCs w:val="24"/>
    </w:rPr>
  </w:style>
  <w:style w:type="paragraph" w:customStyle="1" w:styleId="13">
    <w:name w:val="Table Paragraph"/>
    <w:basedOn w:val="1"/>
    <w:autoRedefine/>
    <w:qFormat/>
    <w:uiPriority w:val="1"/>
    <w:pPr>
      <w:autoSpaceDE w:val="0"/>
      <w:autoSpaceDN w:val="0"/>
      <w:adjustRightInd w:val="0"/>
      <w:jc w:val="left"/>
    </w:pPr>
    <w:rPr>
      <w:rFonts w:ascii="Times New Roman" w:hAnsi="Times New Roman"/>
      <w:kern w:val="0"/>
      <w:sz w:val="24"/>
      <w:szCs w:val="24"/>
    </w:rPr>
  </w:style>
  <w:style w:type="paragraph" w:styleId="14">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1981</Words>
  <Characters>1987</Characters>
  <Lines>0</Lines>
  <Paragraphs>0</Paragraphs>
  <TotalTime>12</TotalTime>
  <ScaleCrop>false</ScaleCrop>
  <LinksUpToDate>false</LinksUpToDate>
  <CharactersWithSpaces>2429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2025-06-11T10:45:00Z</dcterms:created>
  <dc:creator>admin</dc:creator>
  <cp:lastModifiedBy>阿拉蕾</cp:lastModifiedBy>
  <dcterms:modified xsi:type="dcterms:W3CDTF">2025-09-16T09:52:56Z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4575AA07CD9C4C179608E31F3D606A07_11</vt:lpwstr>
  </property>
  <property fmtid="{D5CDD505-2E9C-101B-9397-08002B2CF9AE}" pid="4" name="KSOTemplateDocerSaveRecord">
    <vt:lpwstr>eyJoZGlkIjoiN2Q0MjRhMWIzNzg3NTk1N2FmMTdjZmQ3ZTIxZDU0OTEiLCJ1c2VySWQiOiIzOTU5NzQ3MDcifQ==</vt:lpwstr>
  </property>
</Properties>
</file>