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版本号：ZYXCG-2025010720250916001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富平县地质灾害“隐患点+风险区”双控工作项目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ZYXCG-20250107</w:t>
      </w:r>
      <w:r>
        <w:br/>
      </w:r>
      <w:r>
        <w:br/>
      </w:r>
      <w:r>
        <w:br/>
      </w:r>
    </w:p>
    <w:p>
      <w:pPr>
        <w:pStyle w:val="null3"/>
        <w:jc w:val="center"/>
        <w:outlineLvl w:val="2"/>
      </w:pPr>
      <w:r>
        <w:rPr>
          <w:rFonts w:ascii="仿宋_GB2312" w:hAnsi="仿宋_GB2312" w:cs="仿宋_GB2312" w:eastAsia="仿宋_GB2312"/>
          <w:sz w:val="28"/>
          <w:b/>
        </w:rPr>
        <w:t>富平县自然资源局（本级）</w:t>
      </w:r>
    </w:p>
    <w:p>
      <w:pPr>
        <w:pStyle w:val="null3"/>
        <w:jc w:val="center"/>
        <w:outlineLvl w:val="2"/>
      </w:pPr>
      <w:r>
        <w:rPr>
          <w:rFonts w:ascii="仿宋_GB2312" w:hAnsi="仿宋_GB2312" w:cs="仿宋_GB2312" w:eastAsia="仿宋_GB2312"/>
          <w:sz w:val="28"/>
          <w:b/>
        </w:rPr>
        <w:t>陕西正宇信工程项目管理有限公司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陕西正宇信工程项目管理有限公司</w:t>
      </w:r>
      <w:r>
        <w:rPr>
          <w:rFonts w:ascii="仿宋_GB2312" w:hAnsi="仿宋_GB2312" w:cs="仿宋_GB2312" w:eastAsia="仿宋_GB2312"/>
        </w:rPr>
        <w:t>（以下简称“代理机构”）受</w:t>
      </w:r>
      <w:r>
        <w:rPr>
          <w:rFonts w:ascii="仿宋_GB2312" w:hAnsi="仿宋_GB2312" w:cs="仿宋_GB2312" w:eastAsia="仿宋_GB2312"/>
        </w:rPr>
        <w:t>富平县自然资源局（本级）</w:t>
      </w:r>
      <w:r>
        <w:rPr>
          <w:rFonts w:ascii="仿宋_GB2312" w:hAnsi="仿宋_GB2312" w:cs="仿宋_GB2312" w:eastAsia="仿宋_GB2312"/>
        </w:rPr>
        <w:t>委托，拟对</w:t>
      </w:r>
      <w:r>
        <w:rPr>
          <w:rFonts w:ascii="仿宋_GB2312" w:hAnsi="仿宋_GB2312" w:cs="仿宋_GB2312" w:eastAsia="仿宋_GB2312"/>
        </w:rPr>
        <w:t>富平县地质灾害“隐患点+风险区”双控工作项目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ZYXCG-20250107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富平县地质灾害“隐患点+风险区”双控工作项目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富平县地质灾害“隐患点+风险区”双控工作，对省技术总站下达富平县的17处在册地质灾害隐患点、304处地质灾害 风险区图斑信息,开展地质灾害“隐患点+风险区”信息核实认定,落实地质灾害风险区管控机制,建立“一库两清单一体系”, 推动地质灾害防治工作。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1、营业执照：供应商为合法注册的法人、其他组织或自然人，具有独立承担民事责任的能力，提供营业执照（或事业法人证）、组织机构代码证、税务登记证或统一社会信用代码 的营业执照等证明文件，申请人为自然人的提供身份证；供应商需在项目电子化交易系统中按要求上传相应证明文件并进行电子签章；</w:t>
      </w:r>
    </w:p>
    <w:p>
      <w:pPr>
        <w:pStyle w:val="null3"/>
      </w:pPr>
      <w:r>
        <w:rPr>
          <w:rFonts w:ascii="仿宋_GB2312" w:hAnsi="仿宋_GB2312" w:cs="仿宋_GB2312" w:eastAsia="仿宋_GB2312"/>
        </w:rPr>
        <w:t>2、法定代表人授权书：供应商应授权合法的人员参加磋商全过程，其中法定代表人直接参加磋商的，须出具法人身份证原件，并与营业执照信息一致。法定代表人授权代表参加磋商的，须出具法定代表人授权书（附法定代表人、被授权人身份证复印件）；供应商需在项目电子化交易系统中按要求上传相应证明文件并进行电子签章；</w:t>
      </w:r>
    </w:p>
    <w:p>
      <w:pPr>
        <w:pStyle w:val="null3"/>
      </w:pPr>
      <w:r>
        <w:rPr>
          <w:rFonts w:ascii="仿宋_GB2312" w:hAnsi="仿宋_GB2312" w:cs="仿宋_GB2312" w:eastAsia="仿宋_GB2312"/>
        </w:rPr>
        <w:t>3、企业资质：具备行政主管部门颁发合法有效的地质灾害评估和治理工程勘查设计甲级及以上资质；供应商需在项目电子化交易系统中按要求上传相应证明文件并进行电子签章；</w:t>
      </w:r>
    </w:p>
    <w:p>
      <w:pPr>
        <w:pStyle w:val="null3"/>
      </w:pPr>
      <w:r>
        <w:rPr>
          <w:rFonts w:ascii="仿宋_GB2312" w:hAnsi="仿宋_GB2312" w:cs="仿宋_GB2312" w:eastAsia="仿宋_GB2312"/>
        </w:rPr>
        <w:t>4、项目负责人：拟派项目负责人须具备相关专业高级职称；供应商需在项目电子化交易系统中按要求上传相应证明文件并进行电子签章；</w:t>
      </w:r>
    </w:p>
    <w:p>
      <w:pPr>
        <w:pStyle w:val="null3"/>
      </w:pPr>
      <w:r>
        <w:rPr>
          <w:rFonts w:ascii="仿宋_GB2312" w:hAnsi="仿宋_GB2312" w:cs="仿宋_GB2312" w:eastAsia="仿宋_GB2312"/>
        </w:rPr>
        <w:t>5、企业信誉：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6、税收缴纳证明：提供供应商自磋商前一年内至少一个月已缴纳的增值税或营业税或企业所得税的凭据或税务机关开具的完税证明；依法免税的应提供相关文件证明;供应商需在项目电子化交易系统中按要求上传相应证明文件并进行电子签章；</w:t>
      </w:r>
    </w:p>
    <w:p>
      <w:pPr>
        <w:pStyle w:val="null3"/>
      </w:pPr>
      <w:r>
        <w:rPr>
          <w:rFonts w:ascii="仿宋_GB2312" w:hAnsi="仿宋_GB2312" w:cs="仿宋_GB2312" w:eastAsia="仿宋_GB2312"/>
        </w:rPr>
        <w:t>7、社会保障资金缴纳证明：提供供应商自磋商前一年内已缴纳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8、财务状况报告：提供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供应商需在项目电子化交易系统中按要求上传相应证明文件并进行电子签章；</w:t>
      </w:r>
    </w:p>
    <w:p>
      <w:pPr>
        <w:pStyle w:val="null3"/>
      </w:pPr>
      <w:r>
        <w:rPr>
          <w:rFonts w:ascii="仿宋_GB2312" w:hAnsi="仿宋_GB2312" w:cs="仿宋_GB2312" w:eastAsia="仿宋_GB2312"/>
        </w:rPr>
        <w:t>9、承诺书：提供具有履行合同所必需的设备和专业技术能力的承诺；供应商需在项目电子化交易系统中按要求上传相应证明文件并进行电子签章；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10、书面声明：提供参加本次政府采购活动前三年内在经营活动中没有重大违法记录的书面声明；供应商需在项目电子化交易系统中按要求上传相应证明文件并进行电子签章；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11、非联合体磋商：本项目不接受联合体磋商；</w:t>
      </w:r>
    </w:p>
    <w:p>
      <w:pPr>
        <w:pStyle w:val="null3"/>
      </w:pPr>
      <w:r>
        <w:rPr>
          <w:rFonts w:ascii="仿宋_GB2312" w:hAnsi="仿宋_GB2312" w:cs="仿宋_GB2312" w:eastAsia="仿宋_GB2312"/>
        </w:rPr>
        <w:t>12、供应商不得存在的其他情形：单位负责人为同一人或者存在控股、管理关系的不同单位不得同时参加本项目采购活动。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富平县自然资源局（本级）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富平县莲湖大街东段83号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0913-8205840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陕西正宇信工程项目管理有限公司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西安市航天基地飞天路588号北航科技园5号楼1单元2楼会议室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苗梦云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18092083376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开户名称：陕西正宇信工程项目管理有限公司</w:t>
            </w:r>
          </w:p>
          <w:p>
            <w:pPr>
              <w:pStyle w:val="null3"/>
            </w:pPr>
            <w:r>
              <w:rPr>
                <w:rFonts w:ascii="仿宋_GB2312" w:hAnsi="仿宋_GB2312" w:cs="仿宋_GB2312" w:eastAsia="仿宋_GB2312"/>
              </w:rPr>
              <w:t>开户银行：中国建设银行股份有限公司西安长安区西长安街支行</w:t>
            </w:r>
          </w:p>
          <w:p>
            <w:pPr>
              <w:pStyle w:val="null3"/>
            </w:pPr>
            <w:r>
              <w:rPr>
                <w:rFonts w:ascii="仿宋_GB2312" w:hAnsi="仿宋_GB2312" w:cs="仿宋_GB2312" w:eastAsia="仿宋_GB2312"/>
              </w:rPr>
              <w:t>银行账号：61050170525900000014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执行。 2、中标单位在领取中标通知书前，须向采购代理机构一次性支付采购代理服务费。 代理费缴存账户： 开户名称：陕西正宇信工程项目管理有限公司 开户银行：中国建设银行股份有限公司西安长安区西长安街支行 账号：61050170525900000014 （备注：项目名称+项目编号）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富平县自然资源局（本级）</w:t>
      </w:r>
      <w:r>
        <w:rPr>
          <w:rFonts w:ascii="仿宋_GB2312" w:hAnsi="仿宋_GB2312" w:cs="仿宋_GB2312" w:eastAsia="仿宋_GB2312"/>
        </w:rPr>
        <w:t>和</w:t>
      </w:r>
      <w:r>
        <w:rPr>
          <w:rFonts w:ascii="仿宋_GB2312" w:hAnsi="仿宋_GB2312" w:cs="仿宋_GB2312" w:eastAsia="仿宋_GB2312"/>
        </w:rPr>
        <w:t>陕西正宇信工程项目管理有限公司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富平县自然资源局（本级）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陕西正宇信工程项目管理有限公司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富平县自然资源局（本级）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陕西正宇信工程项目管理有限公司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陕西正宇信工程项目管理有限公司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陕西正宇信工程项目管理有限公司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陕西正宇信工程项目管理有限公司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联系人：苗梦云</w:t>
      </w:r>
    </w:p>
    <w:p>
      <w:pPr>
        <w:pStyle w:val="null3"/>
      </w:pPr>
      <w:r>
        <w:rPr>
          <w:rFonts w:ascii="仿宋_GB2312" w:hAnsi="仿宋_GB2312" w:cs="仿宋_GB2312" w:eastAsia="仿宋_GB2312"/>
        </w:rPr>
        <w:t>联系电话：18092083376</w:t>
      </w:r>
    </w:p>
    <w:p>
      <w:pPr>
        <w:pStyle w:val="null3"/>
      </w:pPr>
      <w:r>
        <w:rPr>
          <w:rFonts w:ascii="仿宋_GB2312" w:hAnsi="仿宋_GB2312" w:cs="仿宋_GB2312" w:eastAsia="仿宋_GB2312"/>
        </w:rPr>
        <w:t>地址：西安市航天基地飞天路588号北航科技园5号楼1单元2楼会议室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富平县地质灾害“隐患点+风险区”双控工作，对省技术总站下达富平县的17处在册地质灾害隐患点、304处地质灾害风险区图斑信息,开展地质灾害“隐患点+风险区”信息核实认定,落实地质灾害风险区管控机制,建立“一库两清单一体系”,推动地质灾害防治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富平县地质灾害“隐患点+风险区”双控工作项目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标的名称：富平县地质灾害“隐患点+风险区”双控工作项目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富平县地质灾害“隐患点+风险区”双控工作，对省技术总站下达富平县的17处在册地质灾害隐患点、304处地质灾害风险区图斑信息,开展地质灾害“隐患点+风险区”信息核实认定,落实地质灾害风险区管控机制,建立“一库两清单一体系”,推动地质灾害防治工作。</w:t>
            </w:r>
          </w:p>
          <w:p>
            <w:pPr>
              <w:pStyle w:val="null3"/>
            </w:pPr>
            <w:r>
              <w:rPr>
                <w:rFonts w:ascii="仿宋_GB2312" w:hAnsi="仿宋_GB2312" w:cs="仿宋_GB2312" w:eastAsia="仿宋_GB2312"/>
              </w:rPr>
              <w:t>二、工作目标</w:t>
            </w:r>
          </w:p>
          <w:p>
            <w:pPr>
              <w:pStyle w:val="null3"/>
            </w:pPr>
            <w:r>
              <w:rPr>
                <w:rFonts w:ascii="仿宋_GB2312" w:hAnsi="仿宋_GB2312" w:cs="仿宋_GB2312" w:eastAsia="仿宋_GB2312"/>
              </w:rPr>
              <w:t>按照“发现隐患、监测隐患、发出预警、果断撤离”地质灾害防治全链条闭环管理要求，不断完善地质灾害群测群防体系，对全县17处地质灾害隐患点和304处风险区域进行春季核查排查，开展地质灾害趋势研判，强化地质灾害监测预警，全面落实地质灾害“隐患点+风险区”双控，加快推进地质灾害防治体系建设，最大限度化解地质灾害风险，坚决避免春季因地质灾害造成人员伤亡。</w:t>
            </w:r>
          </w:p>
          <w:p>
            <w:pPr>
              <w:pStyle w:val="null3"/>
            </w:pPr>
            <w:r>
              <w:rPr>
                <w:rFonts w:ascii="仿宋_GB2312" w:hAnsi="仿宋_GB2312" w:cs="仿宋_GB2312" w:eastAsia="仿宋_GB2312"/>
              </w:rPr>
              <w:t>三、工作内容</w:t>
            </w:r>
          </w:p>
          <w:p>
            <w:pPr>
              <w:pStyle w:val="null3"/>
            </w:pPr>
            <w:r>
              <w:rPr>
                <w:rFonts w:ascii="仿宋_GB2312" w:hAnsi="仿宋_GB2312" w:cs="仿宋_GB2312" w:eastAsia="仿宋_GB2312"/>
              </w:rPr>
              <w:t>（一）在册隐患点</w:t>
            </w:r>
          </w:p>
          <w:p>
            <w:pPr>
              <w:pStyle w:val="null3"/>
            </w:pPr>
            <w:r>
              <w:rPr>
                <w:rFonts w:ascii="仿宋_GB2312" w:hAnsi="仿宋_GB2312" w:cs="仿宋_GB2312" w:eastAsia="仿宋_GB2312"/>
              </w:rPr>
              <w:t>1.地面调查：逐个隐患点进行野外调查，调查隐患点现状。</w:t>
            </w:r>
          </w:p>
          <w:p>
            <w:pPr>
              <w:pStyle w:val="null3"/>
            </w:pPr>
            <w:r>
              <w:rPr>
                <w:rFonts w:ascii="仿宋_GB2312" w:hAnsi="仿宋_GB2312" w:cs="仿宋_GB2312" w:eastAsia="仿宋_GB2312"/>
              </w:rPr>
              <w:t>2.基本信息核实：核实隐患点承灾体基本信息，调查核实每个威胁对象姓名、年龄、身份证号码、电话等信息。</w:t>
            </w:r>
          </w:p>
          <w:p>
            <w:pPr>
              <w:pStyle w:val="null3"/>
            </w:pPr>
            <w:r>
              <w:rPr>
                <w:rFonts w:ascii="仿宋_GB2312" w:hAnsi="仿宋_GB2312" w:cs="仿宋_GB2312" w:eastAsia="仿宋_GB2312"/>
              </w:rPr>
              <w:t>3.位置核实：核实隐患点地理位置及坐标。</w:t>
            </w:r>
          </w:p>
          <w:p>
            <w:pPr>
              <w:pStyle w:val="null3"/>
            </w:pPr>
            <w:r>
              <w:rPr>
                <w:rFonts w:ascii="仿宋_GB2312" w:hAnsi="仿宋_GB2312" w:cs="仿宋_GB2312" w:eastAsia="仿宋_GB2312"/>
              </w:rPr>
              <w:t>4.明白卡设计：设计隐患点工作明白卡、避险明白卡，包括隐患点基本信息、避险撤离信号、避险撤离路线、避险撤离场所、医疗救护单位、隐患点全景图等。</w:t>
            </w:r>
          </w:p>
          <w:p>
            <w:pPr>
              <w:pStyle w:val="null3"/>
            </w:pPr>
            <w:r>
              <w:rPr>
                <w:rFonts w:ascii="仿宋_GB2312" w:hAnsi="仿宋_GB2312" w:cs="仿宋_GB2312" w:eastAsia="仿宋_GB2312"/>
              </w:rPr>
              <w:t>5.陕西省地质灾害防治信息平台实体勾绘：在陕西省地质灾害防治信息平台实体勾绘隐患点，包括致灾体、承灾体范围、变形裂缝以及坡体失稳后可能的运动方向等。</w:t>
            </w:r>
          </w:p>
          <w:p>
            <w:pPr>
              <w:pStyle w:val="null3"/>
            </w:pPr>
            <w:r>
              <w:rPr>
                <w:rFonts w:ascii="仿宋_GB2312" w:hAnsi="仿宋_GB2312" w:cs="仿宋_GB2312" w:eastAsia="仿宋_GB2312"/>
              </w:rPr>
              <w:t>6.更新隐患点警示牌：按照省厅的模板更新隐患点警示牌，明确隐患点基本信息、责任体系、隐患点全景图（包含致灾体、承灾体、撤离路线等勾绘信息）。</w:t>
            </w:r>
          </w:p>
          <w:p>
            <w:pPr>
              <w:pStyle w:val="null3"/>
            </w:pPr>
            <w:r>
              <w:rPr>
                <w:rFonts w:ascii="仿宋_GB2312" w:hAnsi="仿宋_GB2312" w:cs="仿宋_GB2312" w:eastAsia="仿宋_GB2312"/>
              </w:rPr>
              <w:t>（二）风险区</w:t>
            </w:r>
          </w:p>
          <w:p>
            <w:pPr>
              <w:pStyle w:val="null3"/>
            </w:pPr>
            <w:r>
              <w:rPr>
                <w:rFonts w:ascii="仿宋_GB2312" w:hAnsi="仿宋_GB2312" w:cs="仿宋_GB2312" w:eastAsia="仿宋_GB2312"/>
              </w:rPr>
              <w:t>1.地面调查：对地质灾害风险区逐个进行野外调查，调查核实风险区现状。</w:t>
            </w:r>
          </w:p>
          <w:p>
            <w:pPr>
              <w:pStyle w:val="null3"/>
            </w:pPr>
            <w:r>
              <w:rPr>
                <w:rFonts w:ascii="仿宋_GB2312" w:hAnsi="仿宋_GB2312" w:cs="仿宋_GB2312" w:eastAsia="仿宋_GB2312"/>
              </w:rPr>
              <w:t>2.风险区范围核定：核定风险区范围，划定边界，并进行新增、删除、合并。</w:t>
            </w:r>
          </w:p>
          <w:p>
            <w:pPr>
              <w:pStyle w:val="null3"/>
            </w:pPr>
            <w:r>
              <w:rPr>
                <w:rFonts w:ascii="仿宋_GB2312" w:hAnsi="仿宋_GB2312" w:cs="仿宋_GB2312" w:eastAsia="仿宋_GB2312"/>
              </w:rPr>
              <w:t>3.建立风险区管控清单：核实极高、高、中风险区的基本信息和受威胁对象，包括户数、人数、房屋间数、房屋结构等，建立地质灾害风险区管控清单。</w:t>
            </w:r>
          </w:p>
          <w:p>
            <w:pPr>
              <w:pStyle w:val="null3"/>
            </w:pPr>
            <w:r>
              <w:rPr>
                <w:rFonts w:ascii="仿宋_GB2312" w:hAnsi="仿宋_GB2312" w:cs="仿宋_GB2312" w:eastAsia="仿宋_GB2312"/>
              </w:rPr>
              <w:t>4.建立转移避险人员清单：针对风险区的受威胁群众，建立地质灾害转移避险人员清单，明确转移对象、撤离条件、预警信号、盯撤责任人、转移撤离路线、避险场所等。</w:t>
            </w:r>
          </w:p>
          <w:p>
            <w:pPr>
              <w:pStyle w:val="null3"/>
            </w:pPr>
            <w:r>
              <w:rPr>
                <w:rFonts w:ascii="仿宋_GB2312" w:hAnsi="仿宋_GB2312" w:cs="仿宋_GB2312" w:eastAsia="仿宋_GB2312"/>
              </w:rPr>
              <w:t>5.陕西省地质灾害防治信息平台完善风险区信息、精细化调整风险区边界：在陕西省地质灾害防治信息平台完善风险区位置、坐标范围、威胁对象信息等信息，对风险区进行新增、合并、剥离、删除等操作。</w:t>
            </w:r>
          </w:p>
          <w:p>
            <w:pPr>
              <w:pStyle w:val="null3"/>
            </w:pPr>
            <w:r>
              <w:rPr>
                <w:rFonts w:ascii="仿宋_GB2312" w:hAnsi="仿宋_GB2312" w:cs="仿宋_GB2312" w:eastAsia="仿宋_GB2312"/>
              </w:rPr>
              <w:t>6.制作风险区明白卡：根据地质灾害转移避险人员清单，编制地质灾害风险区“防抢撤”预案，制作发放地质灾害转移避险明白卡。</w:t>
            </w:r>
          </w:p>
          <w:p>
            <w:pPr>
              <w:pStyle w:val="null3"/>
            </w:pPr>
            <w:r>
              <w:rPr>
                <w:rFonts w:ascii="仿宋_GB2312" w:hAnsi="仿宋_GB2312" w:cs="仿宋_GB2312" w:eastAsia="仿宋_GB2312"/>
              </w:rPr>
              <w:t>7.制作风险区警示牌：在醒目位置设立地质灾害隐患点、风险区警示牌，公开撤离条件、预警信号、转移撤离路线、避险场所、应急联系方式等重要信息。</w:t>
            </w:r>
          </w:p>
          <w:p>
            <w:pPr>
              <w:pStyle w:val="null3"/>
            </w:pPr>
            <w:r>
              <w:rPr>
                <w:rFonts w:ascii="仿宋_GB2312" w:hAnsi="仿宋_GB2312" w:cs="仿宋_GB2312" w:eastAsia="仿宋_GB2312"/>
              </w:rPr>
              <w:t>（三）建立“隐患点+风险区”双控责任体系</w:t>
            </w:r>
          </w:p>
          <w:p>
            <w:pPr>
              <w:pStyle w:val="null3"/>
            </w:pPr>
            <w:r>
              <w:rPr>
                <w:rFonts w:ascii="仿宋_GB2312" w:hAnsi="仿宋_GB2312" w:cs="仿宋_GB2312" w:eastAsia="仿宋_GB2312"/>
              </w:rPr>
              <w:t>协助甲方，指导街办，以行政村为单元，建立县、乡、村、群测群防员（巡查员）4级责任体系，压实地质灾害“隐患点+风险区”双控责任。区级责任人负责组织、协调、指导、监督“隐患点+风险区”双控工作，指挥灾险情现场处置；街办责任人负责指导村（社区）开展“隐患点+风险区”双控工作，根据地质灾害气象预报预警信息，发布转移避险命令；村（社区）责任人负责管理考核隐患点群测群防员、风险区巡查员，紧急情况下发布转移避险命令，组织开展“隐患点+风险区”日常管控和转移避险工作。</w:t>
            </w:r>
          </w:p>
          <w:p>
            <w:pPr>
              <w:pStyle w:val="null3"/>
            </w:pPr>
            <w:r>
              <w:rPr>
                <w:rFonts w:ascii="仿宋_GB2312" w:hAnsi="仿宋_GB2312" w:cs="仿宋_GB2312" w:eastAsia="仿宋_GB2312"/>
              </w:rPr>
              <w:t>四、工期安排</w:t>
            </w:r>
          </w:p>
          <w:p>
            <w:pPr>
              <w:pStyle w:val="null3"/>
            </w:pPr>
            <w:r>
              <w:rPr>
                <w:rFonts w:ascii="仿宋_GB2312" w:hAnsi="仿宋_GB2312" w:cs="仿宋_GB2312" w:eastAsia="仿宋_GB2312"/>
              </w:rPr>
              <w:t>要求90日历日内完成所有工作内容。</w:t>
            </w:r>
          </w:p>
          <w:p>
            <w:pPr>
              <w:pStyle w:val="null3"/>
            </w:pPr>
            <w:r>
              <w:rPr>
                <w:rFonts w:ascii="仿宋_GB2312" w:hAnsi="仿宋_GB2312" w:cs="仿宋_GB2312" w:eastAsia="仿宋_GB2312"/>
              </w:rPr>
              <w:t>五、提交成果</w:t>
            </w:r>
          </w:p>
          <w:p>
            <w:pPr>
              <w:pStyle w:val="null3"/>
            </w:pPr>
            <w:r>
              <w:rPr>
                <w:rFonts w:ascii="仿宋_GB2312" w:hAnsi="仿宋_GB2312" w:cs="仿宋_GB2312" w:eastAsia="仿宋_GB2312"/>
              </w:rPr>
              <w:t>1、按要求完成陕西省地质灾害防治信息平台相关工作内容。</w:t>
            </w:r>
          </w:p>
          <w:p>
            <w:pPr>
              <w:pStyle w:val="null3"/>
            </w:pPr>
            <w:r>
              <w:rPr>
                <w:rFonts w:ascii="仿宋_GB2312" w:hAnsi="仿宋_GB2312" w:cs="仿宋_GB2312" w:eastAsia="仿宋_GB2312"/>
              </w:rPr>
              <w:t>2、提交地质灾害风险区管控清单。</w:t>
            </w:r>
          </w:p>
          <w:p>
            <w:pPr>
              <w:pStyle w:val="null3"/>
            </w:pPr>
            <w:r>
              <w:rPr>
                <w:rFonts w:ascii="仿宋_GB2312" w:hAnsi="仿宋_GB2312" w:cs="仿宋_GB2312" w:eastAsia="仿宋_GB2312"/>
              </w:rPr>
              <w:t>3、提交地质灾害风险区转移避险人员清单、避险明白卡。</w:t>
            </w:r>
          </w:p>
          <w:p>
            <w:pPr>
              <w:pStyle w:val="null3"/>
            </w:pPr>
            <w:r>
              <w:rPr>
                <w:rFonts w:ascii="仿宋_GB2312" w:hAnsi="仿宋_GB2312" w:cs="仿宋_GB2312" w:eastAsia="仿宋_GB2312"/>
              </w:rPr>
              <w:t>4、提交地质灾害风险区“防抢撤”预案。</w:t>
            </w:r>
          </w:p>
          <w:p>
            <w:pPr>
              <w:pStyle w:val="null3"/>
            </w:pPr>
            <w:r>
              <w:rPr>
                <w:rFonts w:ascii="仿宋_GB2312" w:hAnsi="仿宋_GB2312" w:cs="仿宋_GB2312" w:eastAsia="仿宋_GB2312"/>
              </w:rPr>
              <w:t>5、提交地质灾害风险区转移避险明白卡。</w:t>
            </w:r>
          </w:p>
          <w:p>
            <w:pPr>
              <w:pStyle w:val="null3"/>
            </w:pPr>
            <w:r>
              <w:rPr>
                <w:rFonts w:ascii="仿宋_GB2312" w:hAnsi="仿宋_GB2312" w:cs="仿宋_GB2312" w:eastAsia="仿宋_GB2312"/>
              </w:rPr>
              <w:t>6、提交地质灾害“隐患点+风险区”双控责任体系。</w:t>
            </w:r>
          </w:p>
          <w:p>
            <w:pPr>
              <w:pStyle w:val="null3"/>
            </w:pPr>
            <w:r>
              <w:rPr>
                <w:rFonts w:ascii="仿宋_GB2312" w:hAnsi="仿宋_GB2312" w:cs="仿宋_GB2312" w:eastAsia="仿宋_GB2312"/>
              </w:rPr>
              <w:t>7、提交更新的隐患点警示牌、新设立的风险区警示牌影像资料。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交付成果需数据详实准确,符合渭南市自然资源和规划局关于印发 《渭南市推进地质灾害“隐患点+风险区”双控工作实施方案》(渭自然资发(2023) 291号)文件、国家标准、行业标准以及有关技术规范等要求。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提交成果报告验收通过后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及合同要求，采购人应当将供应商违约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约行为进行相应的处罚。3、合同争议的最终解决方式为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3.4.1供应商需要在线提交所有通过电子化交易平台实施的政府采购项目的响应文件，同时，线下提交纸质响应文件正本壹份、副本肆份、电子版壹份（U盘壹份）。纸质版响应文件应与电子化交易系统上传的一致。 3.4.2线下纸质文件递交截止时间：同在线递交电子响应文件截止时间一致；线下纸质文件递交地点：西安市航天基地飞天路588号北航科技园5号楼1单元2楼会议室。如需邮寄响应文件，（联系人：苗梦云；联系电话：18092083376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供应商为合法注册的法人、其他组织或自然人，具有独立承担民事责任的能力，提供营业执照（或事业法人证）、组织机构代码证、税务登记证或统一社会信用代码 的营业执照等证明文件，申请人为自然人的提供身份证；供应商需在项目电子化交易系统中按要求上传相应证明文件并进行电子签章；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原件，并与营业执照信息一致。法定代表人授权代表参加磋商的，须出具法定代表人授权书（附法定代表人、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具备行政主管部门颁发合法有效的地质灾害评估和治理工程勘查设计甲级及以上资质；供应商需在项目电子化交易系统中按要求上传相应证明文件并进行电子签章；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拟派项目负责人须具备相关专业高级职称；供应商需在项目电子化交易系统中按要求上传相应证明文件并进行电子签章；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磋商前一年内至少一个月已缴纳的增值税或营业税或企业所得税的凭据或税务机关开具的完税证明；依法免税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磋商前一年内已缴纳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供应商不得存在的其他情形</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单位负责人为同一人或者存在控股、管理关系的不同单位不得同时参加本项目采购活动。</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只有一个有效报价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不存在法律、法规和磋商文件规定的其他无效情形</w:t>
            </w:r>
          </w:p>
        </w:tc>
        <w:tc>
          <w:tcPr>
            <w:tcW w:type="dxa" w:w="1661"/>
          </w:tcPr>
          <w:p>
            <w:pPr>
              <w:pStyle w:val="null3"/>
            </w:pPr>
            <w:r>
              <w:rPr>
                <w:rFonts w:ascii="仿宋_GB2312" w:hAnsi="仿宋_GB2312" w:cs="仿宋_GB2312" w:eastAsia="仿宋_GB2312"/>
              </w:rPr>
              <w:t>服务内容及服务要求偏离表.docx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与营业执照、公章等一致</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付款方式是否响应</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磋商报价是否超过采购预算或最高限价</w:t>
            </w:r>
          </w:p>
        </w:tc>
        <w:tc>
          <w:tcPr>
            <w:tcW w:type="dxa" w:w="3322"/>
          </w:tcPr>
          <w:p>
            <w:pPr>
              <w:pStyle w:val="null3"/>
            </w:pPr>
            <w:r>
              <w:rPr>
                <w:rFonts w:ascii="仿宋_GB2312" w:hAnsi="仿宋_GB2312" w:cs="仿宋_GB2312" w:eastAsia="仿宋_GB2312"/>
              </w:rPr>
              <w:t>磋商报价不允许超过采购预算或最高限价，否则将按废标处理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针对本项目工作内容提供实施方案，1、实施方案非常详细并且完整可行、有针对性，完全满足项目实施的得18分； 2、实施方案详细、完整、可行、有针对性，满足项目实施的得15分； 3、实施方案比较详细完整、可行，较利于项目实施的得12分； 4、实施方案基本可行，基本满足项目实施需要的得9分；5、实施方案描述一般，项目勉强可以实施得5分；6、实施方案不合理，项目无法实施得2分 7、未提供得0分。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针对本项目提供需求分析，内容包括但不限于①对本项目工作内容的理解；②项目背景分析；③调查资料的来源及整理等。以上内容专门针对本项目且阐述明晰、全面、合理得12分，每缺一项内容扣4分 , 若上述内容存在瑕疵，每出现一处瑕疵扣 1 分，扣完为止。“瑕疵” 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针对本项目提供保密措施，内容包括但不限于①保密管理制度；②保密内容；③具体工作保密措施；④保密承诺等。以上内容专门针对本项目且阐述明晰、全面、合理得8分，每缺一项内容扣 2 分，若上述内容存在瑕疵，每出现一处瑕疵扣 0.5 分，扣完为止。“瑕疵”指内容不够详实合理、思路不够清晰、针对性不强、表述不够清楚、不符合项目实际情况等。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针对本项目提供实施进度计划，内容包括但不限于①项目实施进度计划；②项目完成进度保障措施；③突发情况的应急方案等。 以上内容专门针对本项目且阐述明晰、全面、合理得9分，每缺一项内容扣 3分，若上述内容存在瑕疵，每出现一处瑕疵扣1 分，扣完为止。“瑕疵”指内容不够详实合理、思路不够清晰、针对性不强、表述不够清楚、不符合项目实际情况等。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针对本项目提供质量保证措施，内容包括但不限于①质量保障方案；②质量目标；③服务承诺等。以上内容专门针对本项目且阐述明晰、全面、合理得 9分，每缺一项内容扣3分，若上述内容存在瑕疵，每出现一处 瑕疵扣 1 分，扣完为止。“瑕疵”指内容不够详实合理、思路不够清晰、针对性不强、表述不够清楚、不符合项目实际情况等。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针对本项目提供项目重点、难点分析，内容包括但不限于①重点、难点分析；②重难点范围的把握；③ 关于重难点的应对措施。以上内容专门针对本项目且阐述明晰、全面、合理得9分，每缺一项内容扣 3分，若上述内容存在瑕疵，每出现一处瑕疵扣1分，扣完为止。“瑕疵”指内容不够详实合理、思路不够清晰、针对性不强、表述不够清楚、不符合项目实际情况等。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应急措施及应对方案</w:t>
            </w:r>
          </w:p>
        </w:tc>
        <w:tc>
          <w:tcPr>
            <w:tcW w:type="dxa" w:w="2492"/>
          </w:tcPr>
          <w:p>
            <w:pPr>
              <w:pStyle w:val="null3"/>
            </w:pPr>
            <w:r>
              <w:rPr>
                <w:rFonts w:ascii="仿宋_GB2312" w:hAnsi="仿宋_GB2312" w:cs="仿宋_GB2312" w:eastAsia="仿宋_GB2312"/>
              </w:rPr>
              <w:t>针对本项目提供应急措施及应对方案，内容包括但不限于①工作响应时效；②应急准备；③ 特殊事故（情况）。以上内容专门针对本项目且阐述明晰、全面、合理得9分，每缺一项内容扣3分，若上述内容存在瑕疵，每出现一处瑕疵扣1分，扣完为止。“瑕疵”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项目团队配置内容至少包括①团队组织人员配置；②团队人员管理制度；③各专业岗位分工。 以上内容专门针对本项目且阐述明晰、全面、合理得9分，每缺一项内容扣3分，若上述内容存在瑕疵，每出现一处瑕疵扣1分，扣完为止。“瑕疵”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拟配备团队情况.docx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提供2022年1月1日以来类似项目业绩（以合同签订日期为准），每份合格业绩合同计1分，满分2分。 注：需提供合同复印件或扫描件并加盖公章，未提供不得分。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满足磋商文件要求且最后的磋商报价最低的投标价为评标基准价，其价格分为满分。 磋商报价得分=（评审基准价/磋商报价）×价格权值×100。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详见附件：服务内容及服务要求偏离表.docx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