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版本号：JQ2025-ZFCG-02620250923001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2025年富平县淡村镇奶山羊健康养殖场建设一期项目（工程）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JQ2025-ZFCG-026</w:t>
      </w:r>
      <w:r>
        <w:br/>
      </w:r>
      <w:r>
        <w:br/>
      </w:r>
      <w:r>
        <w:br/>
      </w:r>
    </w:p>
    <w:p>
      <w:pPr>
        <w:pStyle w:val="null3"/>
        <w:jc w:val="center"/>
        <w:outlineLvl w:val="2"/>
      </w:pPr>
      <w:r>
        <w:rPr>
          <w:rFonts w:ascii="仿宋_GB2312" w:hAnsi="仿宋_GB2312" w:cs="仿宋_GB2312" w:eastAsia="仿宋_GB2312"/>
          <w:sz w:val="28"/>
          <w:b/>
        </w:rPr>
        <w:t>富平县淡村镇人民政府（本级）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富平县淡村镇人民政府（本级）</w:t>
      </w:r>
      <w:r>
        <w:rPr>
          <w:rFonts w:ascii="仿宋_GB2312" w:hAnsi="仿宋_GB2312" w:cs="仿宋_GB2312" w:eastAsia="仿宋_GB2312"/>
        </w:rPr>
        <w:t>委托，拟对</w:t>
      </w:r>
      <w:r>
        <w:rPr>
          <w:rFonts w:ascii="仿宋_GB2312" w:hAnsi="仿宋_GB2312" w:cs="仿宋_GB2312" w:eastAsia="仿宋_GB2312"/>
        </w:rPr>
        <w:t>2025年富平县淡村镇奶山羊健康养殖场建设一期项目（工程）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2025年富平县淡村镇奶山羊健康养殖场建设一期项目（工程）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新建1000只奶山羊健康养殖场，分别为单栋760m²泌乳羊舍2栋，300 m²训羔舍1栋，360m²挤奶厅1栋，消毒药械室、更衣室、卫生间、消毒池及其他附属设施等；（详见清单）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采购包1（2025年富平县淡村镇奶山羊健康养殖场建设一期项目（工程））：属于专门面向中小企业采购。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2、法定代表人授权委托书：提供法定代表人授权委托书（法定代表人参会提供法定代表人身份证明书）</w:t>
      </w:r>
    </w:p>
    <w:p>
      <w:pPr>
        <w:pStyle w:val="null3"/>
      </w:pPr>
      <w:r>
        <w:rPr>
          <w:rFonts w:ascii="仿宋_GB2312" w:hAnsi="仿宋_GB2312" w:cs="仿宋_GB2312" w:eastAsia="仿宋_GB2312"/>
        </w:rPr>
        <w:t>3、资质证书：需具有建设行政主管部门核发的建筑工程施工总承包三级及以上资质</w:t>
      </w:r>
    </w:p>
    <w:p>
      <w:pPr>
        <w:pStyle w:val="null3"/>
      </w:pPr>
      <w:r>
        <w:rPr>
          <w:rFonts w:ascii="仿宋_GB2312" w:hAnsi="仿宋_GB2312" w:cs="仿宋_GB2312" w:eastAsia="仿宋_GB2312"/>
        </w:rPr>
        <w:t>4、安全生产许可证：须具有建设行政主管部门核发有效的安全生产许可证</w:t>
      </w:r>
    </w:p>
    <w:p>
      <w:pPr>
        <w:pStyle w:val="null3"/>
      </w:pPr>
      <w:r>
        <w:rPr>
          <w:rFonts w:ascii="仿宋_GB2312" w:hAnsi="仿宋_GB2312" w:cs="仿宋_GB2312" w:eastAsia="仿宋_GB2312"/>
        </w:rPr>
        <w:t>5、项目经理：拟派项目经理须具备建筑工程专业二级及以上（含二级）注册建造师执业资格和有效的安全生产考核合格证书；（可提供证书复印件或有可识别的二维码证书复印件并加盖公章），且无在建工程（须提供无在建工程的相关证明材料或承诺书）</w:t>
      </w:r>
    </w:p>
    <w:p>
      <w:pPr>
        <w:pStyle w:val="null3"/>
      </w:pPr>
      <w:r>
        <w:rPr>
          <w:rFonts w:ascii="仿宋_GB2312" w:hAnsi="仿宋_GB2312" w:cs="仿宋_GB2312" w:eastAsia="仿宋_GB2312"/>
        </w:rPr>
        <w:t>6、财务报告：须提供2023年至今任意一年经审计的财务报告（成立时间至提交磋商响应文件截止时间不足一年的可提供成立后任意时段的财务报表）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7、税收的良好记录：须提供依法缴纳税收的良好记录（提供投标截止时间前六个月内任意一个月份的缴纳凭据复印件并加盖单位公章，依法免税或开标前一年内零申报的供应商应提供相关证明文件）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8、社会保障资金的良好记录：须提供依法缴纳社会保障资金的良好记录（提供投标截止时间前六个月内任意一个月份的缴纳凭据复印件并加盖单位公章）</w:t>
      </w:r>
    </w:p>
    <w:p>
      <w:pPr>
        <w:pStyle w:val="null3"/>
      </w:pPr>
      <w:r>
        <w:rPr>
          <w:rFonts w:ascii="仿宋_GB2312" w:hAnsi="仿宋_GB2312" w:cs="仿宋_GB2312" w:eastAsia="仿宋_GB2312"/>
        </w:rPr>
        <w:t>9、网站截图：投标截止日前不得为“信用中国”网站（www.creditchina.gov.cn）中列入失信被执行人、重大税收违法失信主体名单和政府采购严重违法失信名单的供应商；不得为“中国政府采购网”（www.ccgp.gov.cn）政府采购严重违法失信行为信息记录中被财政部门禁止参加政府采购活动的供应商。附网站相关截图并加盖单位公章</w:t>
      </w:r>
    </w:p>
    <w:p>
      <w:pPr>
        <w:pStyle w:val="null3"/>
      </w:pPr>
      <w:r>
        <w:rPr>
          <w:rFonts w:ascii="仿宋_GB2312" w:hAnsi="仿宋_GB2312" w:cs="仿宋_GB2312" w:eastAsia="仿宋_GB2312"/>
        </w:rPr>
        <w:t>10、书面声明：提供近三年内在经营活动中无重大违法记录的书面声明</w:t>
      </w:r>
    </w:p>
    <w:p>
      <w:pPr>
        <w:pStyle w:val="null3"/>
      </w:pPr>
      <w:r>
        <w:rPr>
          <w:rFonts w:ascii="仿宋_GB2312" w:hAnsi="仿宋_GB2312" w:cs="仿宋_GB2312" w:eastAsia="仿宋_GB2312"/>
        </w:rPr>
        <w:t>11、保证金转账凭证或保函复印件：提供磋商保证金银行转账凭证及基本账户信息证明资料复印件或金融机构、担保机构出具的保函复印件，复印件均须加盖公章</w:t>
      </w:r>
    </w:p>
    <w:p>
      <w:pPr>
        <w:pStyle w:val="null3"/>
      </w:pPr>
      <w:r>
        <w:rPr>
          <w:rFonts w:ascii="仿宋_GB2312" w:hAnsi="仿宋_GB2312" w:cs="仿宋_GB2312" w:eastAsia="仿宋_GB2312"/>
        </w:rPr>
        <w:t>12、书面声明：提供单位负责人为同一人或者存在直接控股、管理关系的不同供应商，不得参加同一合同项下的政府采购活动的书面声明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13、履行本合同所必需的设备和专业技术能力的说明及承诺：提供具有履行本合同所必需的设备和专业技术能力的说明及承诺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富平县淡村镇人民政府（本级）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陕西省渭南市富平县淡村镇街道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陈星星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15091435939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19992553727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采购包1：3,203,200.00元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代理服务费优惠后按中标价格的6‰收取，招标代理费、编制标底费不计入工程造价。由中标单位支付。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富平县淡村镇人民政府（本级）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富平县淡村镇人民政府（本级）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富平县淡村镇人民政府（本级）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以采购文件及合同约定为准。工程质量满足国家或行业规范验收合格标准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3,203,200.00</w:t>
      </w:r>
    </w:p>
    <w:p>
      <w:pPr>
        <w:pStyle w:val="null3"/>
      </w:pPr>
      <w:r>
        <w:rPr>
          <w:rFonts w:ascii="仿宋_GB2312" w:hAnsi="仿宋_GB2312" w:cs="仿宋_GB2312" w:eastAsia="仿宋_GB2312"/>
        </w:rPr>
        <w:t>采购包最高限价（元）: 3,200,635.07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2025年富平县淡村镇奶山羊健康养殖场建设一期项目（工程）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3,203,200.00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标的名称：2025年富平县淡村镇奶山羊健康养殖场建设一期项目（工程）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6"/>
              </w:rPr>
              <w:t>项目内容：</w:t>
            </w:r>
            <w:r>
              <w:rPr>
                <w:rFonts w:ascii="仿宋_GB2312" w:hAnsi="仿宋_GB2312" w:cs="仿宋_GB2312" w:eastAsia="仿宋_GB2312"/>
                <w:sz w:val="16"/>
                <w:color w:val="000000"/>
              </w:rPr>
              <w:t xml:space="preserve">新建1000只奶山羊健康养殖场，分别为单栋760m²泌乳羊舍2栋 </w:t>
            </w:r>
            <w:r>
              <w:rPr>
                <w:rFonts w:ascii="仿宋_GB2312" w:hAnsi="仿宋_GB2312" w:cs="仿宋_GB2312" w:eastAsia="仿宋_GB2312"/>
                <w:sz w:val="16"/>
                <w:color w:val="000000"/>
              </w:rPr>
              <w:t xml:space="preserve">，300 m²训羔舍1栋，360m²挤奶厅1栋，消毒药械室、更衣室、 </w:t>
            </w:r>
            <w:r>
              <w:rPr>
                <w:rFonts w:ascii="仿宋_GB2312" w:hAnsi="仿宋_GB2312" w:cs="仿宋_GB2312" w:eastAsia="仿宋_GB2312"/>
                <w:sz w:val="16"/>
                <w:color w:val="000000"/>
              </w:rPr>
              <w:t>卫生间、消毒池及其他附属设施等；</w:t>
            </w:r>
            <w:r>
              <w:rPr>
                <w:rFonts w:ascii="仿宋_GB2312" w:hAnsi="仿宋_GB2312" w:cs="仿宋_GB2312" w:eastAsia="仿宋_GB2312"/>
                <w:sz w:val="16"/>
              </w:rPr>
              <w:t>（详见工程量清单）</w:t>
            </w:r>
          </w:p>
          <w:p>
            <w:pPr>
              <w:pStyle w:val="null3"/>
            </w:pPr>
            <w:r>
              <w:rPr>
                <w:rFonts w:ascii="仿宋_GB2312" w:hAnsi="仿宋_GB2312" w:cs="仿宋_GB2312" w:eastAsia="仿宋_GB2312"/>
                <w:sz w:val="16"/>
              </w:rPr>
              <w:t>工  期：60日历天（具体起止日期以合同签订时间为准）</w:t>
            </w:r>
          </w:p>
          <w:p>
            <w:pPr>
              <w:pStyle w:val="null3"/>
            </w:pPr>
            <w:r>
              <w:rPr>
                <w:rFonts w:ascii="仿宋_GB2312" w:hAnsi="仿宋_GB2312" w:cs="仿宋_GB2312" w:eastAsia="仿宋_GB2312"/>
                <w:sz w:val="16"/>
              </w:rPr>
              <w:t>合同履约地点：甲方指定地点</w:t>
            </w:r>
          </w:p>
          <w:p>
            <w:pPr>
              <w:pStyle w:val="null3"/>
            </w:pPr>
            <w:r>
              <w:rPr>
                <w:rFonts w:ascii="仿宋_GB2312" w:hAnsi="仿宋_GB2312" w:cs="仿宋_GB2312" w:eastAsia="仿宋_GB2312"/>
                <w:sz w:val="16"/>
              </w:rPr>
              <w:t>工程质量：合格</w:t>
            </w:r>
          </w:p>
          <w:p>
            <w:pPr>
              <w:pStyle w:val="null3"/>
              <w:jc w:val="both"/>
            </w:pPr>
            <w:r>
              <w:rPr>
                <w:rFonts w:ascii="仿宋_GB2312" w:hAnsi="仿宋_GB2312" w:cs="仿宋_GB2312" w:eastAsia="仿宋_GB2312"/>
                <w:sz w:val="16"/>
              </w:rPr>
              <w:t>付款方式：</w:t>
            </w:r>
            <w:r>
              <w:rPr>
                <w:rFonts w:ascii="仿宋_GB2312" w:hAnsi="仿宋_GB2312" w:cs="仿宋_GB2312" w:eastAsia="仿宋_GB2312"/>
                <w:sz w:val="16"/>
              </w:rPr>
              <w:t>合同签订后付至合同价款的30%作为预付款，施工完成验收合格后付至合同价款的90%，待工程决算审计报告双方签字盖章认可后，付至审计价款的97%，剩余3%作为工程质量保修金，缺陷责任期满后一次性付清。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提供法定代表人授权委托书（法定代表人参会提供法定代表人身份证明书）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需具有建设行政主管部门核发的建筑工程施工总承包三级及以上资质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建筑工程专业二级及以上（含二级）注册建造师执业资格和有效的安全生产考核合格证书；（可提供证书复印件或有可识别的二维码证书复印件并加盖公章），且无在建工程（须提供无在建工程的相关证明材料或承诺书）</w:t>
            </w:r>
          </w:p>
        </w:tc>
        <w:tc>
          <w:tcPr>
            <w:tcW w:type="dxa" w:w="1661"/>
          </w:tcPr>
          <w:p>
            <w:pPr>
              <w:pStyle w:val="null3"/>
            </w:pPr>
            <w:r>
              <w:rPr>
                <w:rFonts w:ascii="仿宋_GB2312" w:hAnsi="仿宋_GB2312" w:cs="仿宋_GB2312" w:eastAsia="仿宋_GB2312"/>
              </w:rPr>
              <w:t>项目管理机构组成表 资格证明材料.docx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税收的良好记录</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社会保障资金的良好记录</w:t>
            </w:r>
          </w:p>
        </w:tc>
        <w:tc>
          <w:tcPr>
            <w:tcW w:type="dxa" w:w="3322"/>
          </w:tcPr>
          <w:p>
            <w:pPr>
              <w:pStyle w:val="null3"/>
            </w:pPr>
            <w:r>
              <w:rPr>
                <w:rFonts w:ascii="仿宋_GB2312" w:hAnsi="仿宋_GB2312" w:cs="仿宋_GB2312" w:eastAsia="仿宋_GB2312"/>
              </w:rPr>
              <w:t>须提供依法缴纳社会保障资金的良好记录（提供投标截止时间前六个月内任意一个月份的缴纳凭据复印件并加盖单位公章）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名单和政府采购严重违法失信名单的供应商；不得为“中国政府采购网”（www.ccgp.gov.cn）政府采购严重违法失信行为信息记录中被财政部门禁止参加政府采购活动的供应商。附网站相关截图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保证金转账凭证或保函复印件</w:t>
            </w:r>
          </w:p>
        </w:tc>
        <w:tc>
          <w:tcPr>
            <w:tcW w:type="dxa" w:w="3322"/>
          </w:tcPr>
          <w:p>
            <w:pPr>
              <w:pStyle w:val="null3"/>
            </w:pPr>
            <w:r>
              <w:rPr>
                <w:rFonts w:ascii="仿宋_GB2312" w:hAnsi="仿宋_GB2312" w:cs="仿宋_GB2312" w:eastAsia="仿宋_GB2312"/>
              </w:rPr>
              <w:t>提供磋商保证金银行转账凭证及基本账户信息证明资料复印件或金融机构、担保机构出具的保函复印件，复印件均须加盖公章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供应商相关证明资料保持一致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资格证明材料.docx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①质量管理目标②管理机构职责分工③质量管理制度④质量保证措施。方案全面 、有效的计8 分 ，方案不完善或有缺陷（不完善或有缺陷是指：方案粗略 、逻辑混乱 、描述过于简单 、与项目特点不匹配 、凭空编造、逻辑漏洞、出现常识性错误 、套用其他项目方案、存在不可能实现的夸大情形 、存在不适用项 目实际情况的情形） 每项扣1分 ，方案缺漏项或只有标题没有实质性内容的每项扣2分，扣完为止。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①安全管理目标②安全管理机构职责分工③安全管理制度④安全保证措施 。方案全面 、有效的计8 分 ，方案不完善或有缺陷（不完善或有缺陷是指：方案粗略 、逻辑混乱 、描述过于简单 、 与项 目特点 不匹配 、 凭空编造 、逻辑漏洞 、 出现常识性错误 、 套用其他项目方案 、存在不可能实现的夸大情形 、 存在不适用项 目实际情况的情形） 每项扣1 分 ，方 案缺漏项或只有标题没有实质性内容的每项扣 2分 ，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①环境保护管理目标②环境保护管理机构 职责分工③环境保护管理制度④环境保护保证措 施 。方案合理完整的计 8 分 ，方案不完善或有缺陷 （不完善或有缺陷是指： 方案粗略 、逻辑混乱 、描述过于简单 、与项 目特点不匹配 、 凭空编造 、逻辑 漏洞 、 出现常识性错误 、套用其他项 目方案 、存在不可能实现的夸大情形 、存在不适用项 目实际情况 的情形） 每项扣1 分 ，方案缺漏项或只有标题没有 实质性内容的每项扣 2 分 ，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①总工期及节点工期安排②施工进度计划安排③进度保证措施 ④资源保障与优化配置。方案合理完整的计 8分 ，方案不完善或有缺陷（不完善或有缺陷是指：方案粗略、逻辑混乱、描述过于简单 、与项 目特点不匹配、 凭空编造 、逻辑漏洞 、 出现常识性错误 、套用其他项 目方案 、存在不可能实现的夸大情形 、存在不适 用项 目实际情况的情形） 每项扣 1 分 ，方案缺漏项或只有标题没有实质性内容的每项扣 2 分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①对项 目总体概况表述②施工部署及措施③对项 目主要及关键方案的表述④施工平面布置 。方案合理完善的计12分 ，方案不完善或有缺陷（不完善 或有缺陷是指： 方案粗略 、逻辑混乱 、描述过于简 单 、与项 目特点不匹配 、 凭空编造 、逻辑漏洞 、 出现常识性错误 、套用其他项目方案 、存在不可能实现的夸大情形 、存在不适用项 目实际情况的情形） 每项扣1 分 ，方案缺漏项或只有标题没有实质性内容的每项扣3分 ， 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供应商针对本项 目制定资源配备计划包含： ①劳动力计划②主要材料供应计划③施工机械设备配备计划。方案合理完整的计 6 分 ， 方案不完善或有缺陷 （不完善或有缺陷是指： 方案粗略 、逻辑混乱 、描 述过于简单 、与项 目特点不匹配 、 凭空编造 、逻辑 漏洞 、 出现常识性错误 、套用其他项 目方案 、存在 不可能实现的夸大情形 、存在不适用项 目实际情况 的情形） 每项扣 1 分 ，方案缺漏项或只有标题没有 实质性内容的每项扣 2 分 ， 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①施工过程中的相关承诺②投入材料质量承诺③质量保修期服务承诺④服务响应时间 。服务承诺合理 、可行的计 4 分 ，方案不完善或有缺陷（不完善或有缺陷是 指 ：方案粗略 、逻辑混乱 、描述过于简单 、与项 目 特点不匹配 、 凭空编造 、逻辑漏洞 、 出现常识性错 误 、套用其他项 目方案 、存在不可能实现的夸大情 形 、存在不适用项 目实际情况的情形） 每项扣 0.5 分 ，方案缺漏项或只有标题没有实质性内容的每项扣 1 分 ， 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近三年完成的类似业绩一项得2分，最多得6分（提供2022年6月1日至今类似工程；投标文件中须附类似工程业绩中标通知书或合同协议书或竣工验收证明材料复印件或扫描件，并加盖公章）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项目机构组成</w:t>
            </w:r>
          </w:p>
        </w:tc>
        <w:tc>
          <w:tcPr>
            <w:tcW w:type="dxa" w:w="2492"/>
          </w:tcPr>
          <w:p>
            <w:pPr>
              <w:pStyle w:val="null3"/>
            </w:pPr>
            <w:r>
              <w:rPr>
                <w:rFonts w:ascii="仿宋_GB2312" w:hAnsi="仿宋_GB2312" w:cs="仿宋_GB2312" w:eastAsia="仿宋_GB2312"/>
              </w:rPr>
              <w:t>具有五大员（质量员、安全员、施工员、材料员、资料员）上岗证书（安全员须含安全生产考核合格证）的每证得1分；有相应职称证（初级及以上均可）的每证加1分，共计10分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①评标基准价的确定：经对各供应商资格审查合格后，将有效投标价格最低的作为评标基准价，此项得满分；投标报价大于最高限价的，为无效报价，应作为无效标处理； ②根据下列公式计算出各供应商的投标报价与评标基准价的差异率。 其他供应商报价得分=(评标基准价／投标报价)×30%×100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