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版本号：JQ2025-ZFCG-02720250924001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2025年富平县淡村镇奶山羊健康养殖场建设一期项目（货物）</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JQ2025-ZFCG-027</w:t>
      </w:r>
      <w:r>
        <w:br/>
      </w:r>
      <w:r>
        <w:br/>
      </w:r>
      <w:r>
        <w:br/>
      </w:r>
    </w:p>
    <w:p>
      <w:pPr>
        <w:pStyle w:val="null3"/>
        <w:jc w:val="center"/>
        <w:outlineLvl w:val="2"/>
      </w:pPr>
      <w:r>
        <w:rPr>
          <w:rFonts w:ascii="仿宋_GB2312" w:hAnsi="仿宋_GB2312" w:cs="仿宋_GB2312" w:eastAsia="仿宋_GB2312"/>
          <w:sz w:val="28"/>
          <w:b/>
        </w:rPr>
        <w:t>富平县淡村镇人民政府（本级）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富平县淡村镇人民政府（本级）</w:t>
      </w:r>
      <w:r>
        <w:rPr>
          <w:rFonts w:ascii="仿宋_GB2312" w:hAnsi="仿宋_GB2312" w:cs="仿宋_GB2312" w:eastAsia="仿宋_GB2312"/>
        </w:rPr>
        <w:t>委托，拟对</w:t>
      </w:r>
      <w:r>
        <w:rPr>
          <w:rFonts w:ascii="仿宋_GB2312" w:hAnsi="仿宋_GB2312" w:cs="仿宋_GB2312" w:eastAsia="仿宋_GB2312"/>
        </w:rPr>
        <w:t>2025年富平县淡村镇奶山羊健康养殖场建设一期项目（货物）</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2025年富平县淡村镇奶山羊健康养殖场建设一期项目（货物）</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2025年富平县淡村镇奶山羊健康养殖场建设一期项目（货物）（详见技术参数）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p>
    <w:p>
      <w:pPr>
        <w:pStyle w:val="null3"/>
      </w:pPr>
      <w:r>
        <w:rPr>
          <w:rFonts w:ascii="仿宋_GB2312" w:hAnsi="仿宋_GB2312" w:cs="仿宋_GB2312" w:eastAsia="仿宋_GB2312"/>
        </w:rPr>
        <w:t>3、税收缴纳证明：提供2024年度6月至今已缴纳的至少3个月的纳税证明（银行缴费凭证）或完税证明，依法免税的单位应提供相关证明材料</w:t>
      </w:r>
    </w:p>
    <w:p>
      <w:pPr>
        <w:pStyle w:val="null3"/>
      </w:pPr>
      <w:r>
        <w:rPr>
          <w:rFonts w:ascii="仿宋_GB2312" w:hAnsi="仿宋_GB2312" w:cs="仿宋_GB2312" w:eastAsia="仿宋_GB2312"/>
        </w:rPr>
        <w:t>4、社会养老保障资金缴纳证明：提供2024年度6月至今已缴存的至少3个月的社会养老保障资金银行缴费单据或社保机构开具的社会养老保险参保缴费情况证明，依法不需要缴纳社会保障资金的单位应提供相关证明材料</w:t>
      </w:r>
    </w:p>
    <w:p>
      <w:pPr>
        <w:pStyle w:val="null3"/>
      </w:pPr>
      <w:r>
        <w:rPr>
          <w:rFonts w:ascii="仿宋_GB2312" w:hAnsi="仿宋_GB2312" w:cs="仿宋_GB2312" w:eastAsia="仿宋_GB2312"/>
        </w:rPr>
        <w:t>5、具有履行本合同所必需的设备和专业技术能力的声明：提供具有履行本合同所必需的设备和专业技术能力的声明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6、法定代表人授权委托书：法定代表人参加投标的，须提供法定代表人资格证明书；法定代表人授权他人参加投标的，须提供法定代表人授权委托书</w:t>
      </w:r>
    </w:p>
    <w:p>
      <w:pPr>
        <w:pStyle w:val="null3"/>
      </w:pPr>
      <w:r>
        <w:rPr>
          <w:rFonts w:ascii="仿宋_GB2312" w:hAnsi="仿宋_GB2312" w:cs="仿宋_GB2312" w:eastAsia="仿宋_GB2312"/>
        </w:rPr>
        <w:t>7、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8、保证金缴纳凭据提供银行转账凭证、基本存款账户信息资料复印件或金融机构、担保机构出具的保函复印件，复印件均须加盖公章：保证金缴纳凭据提供银行转账凭证、基本存款账户信息资料复印件或金融机构、担保机构出具的保函复印件，复印件均须加盖公章</w:t>
      </w:r>
    </w:p>
    <w:p>
      <w:pPr>
        <w:pStyle w:val="null3"/>
      </w:pPr>
      <w:r>
        <w:rPr>
          <w:rFonts w:ascii="仿宋_GB2312" w:hAnsi="仿宋_GB2312" w:cs="仿宋_GB2312" w:eastAsia="仿宋_GB2312"/>
        </w:rPr>
        <w:t>9、投标人提供参加政府采购活动前三年内在经营活动中没有重大违法记录的书面声明：投标人提供参加政府采购活动前三年内在经营活动中没有重大违法记录的书面声明</w:t>
      </w:r>
    </w:p>
    <w:p>
      <w:pPr>
        <w:pStyle w:val="null3"/>
      </w:pPr>
      <w:r>
        <w:rPr>
          <w:rFonts w:ascii="仿宋_GB2312" w:hAnsi="仿宋_GB2312" w:cs="仿宋_GB2312" w:eastAsia="仿宋_GB2312"/>
        </w:rPr>
        <w:t>10、供应商企业关系关联及联合体说明：本项目不接受联合体投标，单位负责人为同一人或者存在直接控股、管理关系的不同供应商，不得同时参加本项目同一标段投标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富平县淡村镇人民政府（本级）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陕西省渭南市富平县淡村镇街道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陈星星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15091435939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19992553727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富平县淡村镇人民政府（本级）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富平县淡村镇人民政府（本级）</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富平县淡村镇人民政府（本级）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2025年富平县淡村镇奶山羊健康养殖场建设一期项目（货物）（详见技术参数）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2,980,000.00</w:t>
      </w:r>
    </w:p>
    <w:p>
      <w:pPr>
        <w:pStyle w:val="null3"/>
      </w:pPr>
      <w:r>
        <w:rPr>
          <w:rFonts w:ascii="仿宋_GB2312" w:hAnsi="仿宋_GB2312" w:cs="仿宋_GB2312" w:eastAsia="仿宋_GB2312"/>
        </w:rPr>
        <w:t>采购包最高限价（元）: 2,980,000.00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2025年富平县淡村镇奶山羊健康养殖场建设一期项目（货物）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标的名称：2025年富平县淡村镇奶山羊健康养殖场建设一期项目（货物）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13"/>
              <w:gridCol w:w="828"/>
              <w:gridCol w:w="213"/>
              <w:gridCol w:w="213"/>
              <w:gridCol w:w="853"/>
              <w:gridCol w:w="225"/>
            </w:tblGrid>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设备名称</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参数</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动物饲料制备机</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1.型式：卧式、固定</w:t>
                  </w:r>
                  <w:r>
                    <w:br/>
                  </w:r>
                  <w:r>
                    <w:rPr>
                      <w:rFonts w:ascii="仿宋_GB2312" w:hAnsi="仿宋_GB2312" w:cs="仿宋_GB2312" w:eastAsia="仿宋_GB2312"/>
                      <w:sz w:val="24"/>
                      <w:color w:val="000000"/>
                    </w:rPr>
                    <w:t xml:space="preserve"> 2.配套动力：减速电机</w:t>
                  </w:r>
                  <w:r>
                    <w:br/>
                  </w:r>
                  <w:r>
                    <w:rPr>
                      <w:rFonts w:ascii="仿宋_GB2312" w:hAnsi="仿宋_GB2312" w:cs="仿宋_GB2312" w:eastAsia="仿宋_GB2312"/>
                      <w:sz w:val="24"/>
                      <w:color w:val="000000"/>
                    </w:rPr>
                    <w:t xml:space="preserve"> 3.整机质量：≥4500Kg</w:t>
                  </w:r>
                  <w:r>
                    <w:br/>
                  </w:r>
                  <w:r>
                    <w:rPr>
                      <w:rFonts w:ascii="仿宋_GB2312" w:hAnsi="仿宋_GB2312" w:cs="仿宋_GB2312" w:eastAsia="仿宋_GB2312"/>
                      <w:sz w:val="24"/>
                      <w:color w:val="000000"/>
                    </w:rPr>
                    <w:t xml:space="preserve"> ★4.生产效率：≥3.0T/h</w:t>
                  </w:r>
                  <w:r>
                    <w:br/>
                  </w:r>
                  <w:r>
                    <w:rPr>
                      <w:rFonts w:ascii="仿宋_GB2312" w:hAnsi="仿宋_GB2312" w:cs="仿宋_GB2312" w:eastAsia="仿宋_GB2312"/>
                      <w:sz w:val="24"/>
                      <w:color w:val="000000"/>
                    </w:rPr>
                    <w:t xml:space="preserve"> 5.配套电机：≥30Kw</w:t>
                  </w:r>
                  <w:r>
                    <w:br/>
                  </w:r>
                  <w:r>
                    <w:rPr>
                      <w:rFonts w:ascii="仿宋_GB2312" w:hAnsi="仿宋_GB2312" w:cs="仿宋_GB2312" w:eastAsia="仿宋_GB2312"/>
                      <w:sz w:val="24"/>
                      <w:color w:val="000000"/>
                    </w:rPr>
                    <w:t xml:space="preserve"> 6.搅拌仓容积：≥10m³</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饲料专用粉碎机</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1.饲草粉碎机：适用青储玉米秸秆、稻草等</w:t>
                  </w:r>
                  <w:r>
                    <w:br/>
                  </w:r>
                  <w:r>
                    <w:rPr>
                      <w:rFonts w:ascii="仿宋_GB2312" w:hAnsi="仿宋_GB2312" w:cs="仿宋_GB2312" w:eastAsia="仿宋_GB2312"/>
                      <w:sz w:val="24"/>
                      <w:color w:val="000000"/>
                    </w:rPr>
                    <w:t xml:space="preserve"> ★2.功率：≥110Kw</w:t>
                  </w:r>
                  <w:r>
                    <w:br/>
                  </w:r>
                  <w:r>
                    <w:rPr>
                      <w:rFonts w:ascii="仿宋_GB2312" w:hAnsi="仿宋_GB2312" w:cs="仿宋_GB2312" w:eastAsia="仿宋_GB2312"/>
                      <w:sz w:val="24"/>
                      <w:color w:val="000000"/>
                    </w:rPr>
                    <w:t xml:space="preserve"> 3.生产率：≥6T/h</w:t>
                  </w:r>
                  <w:r>
                    <w:br/>
                  </w:r>
                  <w:r>
                    <w:rPr>
                      <w:rFonts w:ascii="仿宋_GB2312" w:hAnsi="仿宋_GB2312" w:cs="仿宋_GB2312" w:eastAsia="仿宋_GB2312"/>
                      <w:sz w:val="24"/>
                      <w:color w:val="000000"/>
                    </w:rPr>
                    <w:t xml:space="preserve"> 4.粉碎长度：≥6cm</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电动三轮撒草车</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辆</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①动力类型：电动</w:t>
                  </w:r>
                  <w:r>
                    <w:br/>
                  </w:r>
                  <w:r>
                    <w:rPr>
                      <w:rFonts w:ascii="仿宋_GB2312" w:hAnsi="仿宋_GB2312" w:cs="仿宋_GB2312" w:eastAsia="仿宋_GB2312"/>
                      <w:sz w:val="24"/>
                      <w:color w:val="000000"/>
                    </w:rPr>
                    <w:t xml:space="preserve"> ②电池：锂电、60V</w:t>
                  </w:r>
                  <w:r>
                    <w:br/>
                  </w:r>
                  <w:r>
                    <w:rPr>
                      <w:rFonts w:ascii="仿宋_GB2312" w:hAnsi="仿宋_GB2312" w:cs="仿宋_GB2312" w:eastAsia="仿宋_GB2312"/>
                      <w:sz w:val="24"/>
                      <w:color w:val="000000"/>
                    </w:rPr>
                    <w:t xml:space="preserve"> ③电机：直流、功率≥2Kw</w:t>
                  </w:r>
                  <w:r>
                    <w:br/>
                  </w:r>
                  <w:r>
                    <w:rPr>
                      <w:rFonts w:ascii="仿宋_GB2312" w:hAnsi="仿宋_GB2312" w:cs="仿宋_GB2312" w:eastAsia="仿宋_GB2312"/>
                      <w:sz w:val="24"/>
                      <w:color w:val="000000"/>
                    </w:rPr>
                    <w:t xml:space="preserve"> ④载质量：≥500kg，行驶速度0～20Km/h</w:t>
                  </w:r>
                  <w:r>
                    <w:br/>
                  </w:r>
                  <w:r>
                    <w:rPr>
                      <w:rFonts w:ascii="仿宋_GB2312" w:hAnsi="仿宋_GB2312" w:cs="仿宋_GB2312" w:eastAsia="仿宋_GB2312"/>
                      <w:sz w:val="24"/>
                      <w:color w:val="000000"/>
                    </w:rPr>
                    <w:t xml:space="preserve"> ★⑤续航里程：≥75Km</w:t>
                  </w:r>
                  <w:r>
                    <w:br/>
                  </w:r>
                  <w:r>
                    <w:rPr>
                      <w:rFonts w:ascii="仿宋_GB2312" w:hAnsi="仿宋_GB2312" w:cs="仿宋_GB2312" w:eastAsia="仿宋_GB2312"/>
                      <w:sz w:val="24"/>
                      <w:color w:val="000000"/>
                    </w:rPr>
                    <w:t xml:space="preserve"> ⑥外形尺寸：≥3500×1300×2000mm</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电动三轮喂料车</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辆</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1.动力类型：电动</w:t>
                  </w:r>
                  <w:r>
                    <w:br/>
                  </w:r>
                  <w:r>
                    <w:rPr>
                      <w:rFonts w:ascii="仿宋_GB2312" w:hAnsi="仿宋_GB2312" w:cs="仿宋_GB2312" w:eastAsia="仿宋_GB2312"/>
                      <w:sz w:val="24"/>
                      <w:color w:val="000000"/>
                    </w:rPr>
                    <w:t xml:space="preserve"> 2.电池：锂电、60V</w:t>
                  </w:r>
                  <w:r>
                    <w:br/>
                  </w:r>
                  <w:r>
                    <w:rPr>
                      <w:rFonts w:ascii="仿宋_GB2312" w:hAnsi="仿宋_GB2312" w:cs="仿宋_GB2312" w:eastAsia="仿宋_GB2312"/>
                      <w:sz w:val="24"/>
                      <w:color w:val="000000"/>
                    </w:rPr>
                    <w:t xml:space="preserve"> 3.电机：直流、功率≥2Kw</w:t>
                  </w:r>
                  <w:r>
                    <w:br/>
                  </w:r>
                  <w:r>
                    <w:rPr>
                      <w:rFonts w:ascii="仿宋_GB2312" w:hAnsi="仿宋_GB2312" w:cs="仿宋_GB2312" w:eastAsia="仿宋_GB2312"/>
                      <w:sz w:val="24"/>
                      <w:color w:val="000000"/>
                    </w:rPr>
                    <w:t xml:space="preserve"> 4.载质量：≥300Kg,行驶速度：0-20km/h</w:t>
                  </w:r>
                  <w:r>
                    <w:br/>
                  </w:r>
                  <w:r>
                    <w:rPr>
                      <w:rFonts w:ascii="仿宋_GB2312" w:hAnsi="仿宋_GB2312" w:cs="仿宋_GB2312" w:eastAsia="仿宋_GB2312"/>
                      <w:sz w:val="24"/>
                      <w:color w:val="000000"/>
                    </w:rPr>
                    <w:t xml:space="preserve"> 5.续航里程：≥60Km</w:t>
                  </w:r>
                  <w:r>
                    <w:br/>
                  </w:r>
                  <w:r>
                    <w:rPr>
                      <w:rFonts w:ascii="仿宋_GB2312" w:hAnsi="仿宋_GB2312" w:cs="仿宋_GB2312" w:eastAsia="仿宋_GB2312"/>
                      <w:sz w:val="24"/>
                      <w:color w:val="000000"/>
                    </w:rPr>
                    <w:t xml:space="preserve"> 6.外形尺寸：≥2500×400×1550mm</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装载机</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辆</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1.料斗容量：≥0.5m³</w:t>
                  </w:r>
                  <w:r>
                    <w:br/>
                  </w:r>
                  <w:r>
                    <w:rPr>
                      <w:rFonts w:ascii="仿宋_GB2312" w:hAnsi="仿宋_GB2312" w:cs="仿宋_GB2312" w:eastAsia="仿宋_GB2312"/>
                      <w:sz w:val="24"/>
                      <w:color w:val="000000"/>
                    </w:rPr>
                    <w:t xml:space="preserve"> 2.功率：≥36Kw</w:t>
                  </w:r>
                  <w:r>
                    <w:br/>
                  </w:r>
                  <w:r>
                    <w:rPr>
                      <w:rFonts w:ascii="仿宋_GB2312" w:hAnsi="仿宋_GB2312" w:cs="仿宋_GB2312" w:eastAsia="仿宋_GB2312"/>
                      <w:sz w:val="24"/>
                      <w:color w:val="000000"/>
                    </w:rPr>
                    <w:t xml:space="preserve"> 3.卸料高度：≥3000mm</w:t>
                  </w:r>
                  <w:r>
                    <w:br/>
                  </w:r>
                  <w:r>
                    <w:rPr>
                      <w:rFonts w:ascii="仿宋_GB2312" w:hAnsi="仿宋_GB2312" w:cs="仿宋_GB2312" w:eastAsia="仿宋_GB2312"/>
                      <w:sz w:val="24"/>
                      <w:color w:val="000000"/>
                    </w:rPr>
                    <w:t xml:space="preserve"> 4.额定载质量：≥1000kg</w:t>
                  </w:r>
                  <w:r>
                    <w:br/>
                  </w:r>
                  <w:r>
                    <w:rPr>
                      <w:rFonts w:ascii="仿宋_GB2312" w:hAnsi="仿宋_GB2312" w:cs="仿宋_GB2312" w:eastAsia="仿宋_GB2312"/>
                      <w:sz w:val="24"/>
                      <w:color w:val="000000"/>
                    </w:rPr>
                    <w:t xml:space="preserve"> 5.整机质量：≥3200Kg</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平板三轮车</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辆</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1.发动机功率：≥16Kw</w:t>
                  </w:r>
                  <w:r>
                    <w:br/>
                  </w:r>
                  <w:r>
                    <w:rPr>
                      <w:rFonts w:ascii="仿宋_GB2312" w:hAnsi="仿宋_GB2312" w:cs="仿宋_GB2312" w:eastAsia="仿宋_GB2312"/>
                      <w:sz w:val="24"/>
                      <w:color w:val="000000"/>
                    </w:rPr>
                    <w:t xml:space="preserve"> 2.轴距：≥2700mm</w:t>
                  </w:r>
                  <w:r>
                    <w:br/>
                  </w:r>
                  <w:r>
                    <w:rPr>
                      <w:rFonts w:ascii="仿宋_GB2312" w:hAnsi="仿宋_GB2312" w:cs="仿宋_GB2312" w:eastAsia="仿宋_GB2312"/>
                      <w:sz w:val="24"/>
                      <w:color w:val="000000"/>
                    </w:rPr>
                    <w:t xml:space="preserve"> 3.总质量：≥1990Kg</w:t>
                  </w:r>
                  <w:r>
                    <w:br/>
                  </w:r>
                  <w:r>
                    <w:rPr>
                      <w:rFonts w:ascii="仿宋_GB2312" w:hAnsi="仿宋_GB2312" w:cs="仿宋_GB2312" w:eastAsia="仿宋_GB2312"/>
                      <w:sz w:val="24"/>
                      <w:color w:val="000000"/>
                    </w:rPr>
                    <w:t xml:space="preserve"> 4.轮胎规格：6.00-14/7.00-16</w:t>
                  </w:r>
                  <w:r>
                    <w:br/>
                  </w:r>
                  <w:r>
                    <w:rPr>
                      <w:rFonts w:ascii="仿宋_GB2312" w:hAnsi="仿宋_GB2312" w:cs="仿宋_GB2312" w:eastAsia="仿宋_GB2312"/>
                      <w:sz w:val="24"/>
                      <w:color w:val="000000"/>
                    </w:rPr>
                    <w:t xml:space="preserve"> 5.货箱尺寸：≥2350X1400X500mm</w:t>
                  </w:r>
                  <w:r>
                    <w:br/>
                  </w:r>
                  <w:r>
                    <w:rPr>
                      <w:rFonts w:ascii="仿宋_GB2312" w:hAnsi="仿宋_GB2312" w:cs="仿宋_GB2312" w:eastAsia="仿宋_GB2312"/>
                      <w:sz w:val="24"/>
                      <w:color w:val="000000"/>
                    </w:rPr>
                    <w:t xml:space="preserve"> 6.燃油种类：柴油</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并列式挤奶机</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1.布局形式：并列</w:t>
                  </w:r>
                  <w:r>
                    <w:br/>
                  </w:r>
                  <w:r>
                    <w:rPr>
                      <w:rFonts w:ascii="仿宋_GB2312" w:hAnsi="仿宋_GB2312" w:cs="仿宋_GB2312" w:eastAsia="仿宋_GB2312"/>
                      <w:sz w:val="24"/>
                      <w:color w:val="000000"/>
                    </w:rPr>
                    <w:t xml:space="preserve"> 2.气流方向：副流</w:t>
                  </w:r>
                  <w:r>
                    <w:br/>
                  </w:r>
                  <w:r>
                    <w:rPr>
                      <w:rFonts w:ascii="仿宋_GB2312" w:hAnsi="仿宋_GB2312" w:cs="仿宋_GB2312" w:eastAsia="仿宋_GB2312"/>
                      <w:sz w:val="24"/>
                      <w:color w:val="000000"/>
                    </w:rPr>
                    <w:t xml:space="preserve"> 3.挤奶生产率：≥200头/h</w:t>
                  </w:r>
                  <w:r>
                    <w:br/>
                  </w:r>
                  <w:r>
                    <w:rPr>
                      <w:rFonts w:ascii="仿宋_GB2312" w:hAnsi="仿宋_GB2312" w:cs="仿宋_GB2312" w:eastAsia="仿宋_GB2312"/>
                      <w:sz w:val="24"/>
                      <w:color w:val="000000"/>
                    </w:rPr>
                    <w:t xml:space="preserve"> 4.脉动器：电动</w:t>
                  </w:r>
                  <w:r>
                    <w:br/>
                  </w:r>
                  <w:r>
                    <w:rPr>
                      <w:rFonts w:ascii="仿宋_GB2312" w:hAnsi="仿宋_GB2312" w:cs="仿宋_GB2312" w:eastAsia="仿宋_GB2312"/>
                      <w:sz w:val="24"/>
                      <w:color w:val="000000"/>
                    </w:rPr>
                    <w:t xml:space="preserve"> 5.计量方式：电子</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空气能热水系统</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1.超低温空气源热泵热水机组，额定制热量:≥19Kw，额定输入功率:≥4.5Kw，循环水量:≥3.5m³/h，外形尺寸:≥820x820x980mm</w:t>
                  </w:r>
                  <w:r>
                    <w:br/>
                  </w:r>
                  <w:r>
                    <w:rPr>
                      <w:rFonts w:ascii="仿宋_GB2312" w:hAnsi="仿宋_GB2312" w:cs="仿宋_GB2312" w:eastAsia="仿宋_GB2312"/>
                      <w:sz w:val="24"/>
                      <w:color w:val="000000"/>
                    </w:rPr>
                    <w:t xml:space="preserve"> 2.主循环泵:流量≥4m³/h、扬程≥12m、功率≥0.35Kw</w:t>
                  </w:r>
                  <w:r>
                    <w:br/>
                  </w:r>
                  <w:r>
                    <w:rPr>
                      <w:rFonts w:ascii="仿宋_GB2312" w:hAnsi="仿宋_GB2312" w:cs="仿宋_GB2312" w:eastAsia="仿宋_GB2312"/>
                      <w:sz w:val="24"/>
                      <w:color w:val="000000"/>
                    </w:rPr>
                    <w:t xml:space="preserve"> 3.供水泵:电源:AC220V、流量≥10m³/h、扬程≥40m、功率≥2.0Kw</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制冷罐</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1.容量：≥5000L</w:t>
                  </w:r>
                  <w:r>
                    <w:br/>
                  </w:r>
                  <w:r>
                    <w:rPr>
                      <w:rFonts w:ascii="仿宋_GB2312" w:hAnsi="仿宋_GB2312" w:cs="仿宋_GB2312" w:eastAsia="仿宋_GB2312"/>
                      <w:sz w:val="24"/>
                      <w:color w:val="000000"/>
                    </w:rPr>
                    <w:t xml:space="preserve"> 2.材质：304不锈钢</w:t>
                  </w:r>
                  <w:r>
                    <w:br/>
                  </w:r>
                  <w:r>
                    <w:rPr>
                      <w:rFonts w:ascii="仿宋_GB2312" w:hAnsi="仿宋_GB2312" w:cs="仿宋_GB2312" w:eastAsia="仿宋_GB2312"/>
                      <w:sz w:val="24"/>
                      <w:color w:val="000000"/>
                    </w:rPr>
                    <w:t xml:space="preserve"> 3.制冷：蜂窝制冷版、温度范围0～10℃、制冷量≥5000千卡/h</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草料输送皮带机</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1.功率：≥3Kw</w:t>
                  </w:r>
                  <w:r>
                    <w:br/>
                  </w:r>
                  <w:r>
                    <w:rPr>
                      <w:rFonts w:ascii="仿宋_GB2312" w:hAnsi="仿宋_GB2312" w:cs="仿宋_GB2312" w:eastAsia="仿宋_GB2312"/>
                      <w:sz w:val="24"/>
                      <w:color w:val="000000"/>
                    </w:rPr>
                    <w:t xml:space="preserve"> 2.输送速度：30m/min</w:t>
                  </w:r>
                  <w:r>
                    <w:br/>
                  </w:r>
                  <w:r>
                    <w:rPr>
                      <w:rFonts w:ascii="仿宋_GB2312" w:hAnsi="仿宋_GB2312" w:cs="仿宋_GB2312" w:eastAsia="仿宋_GB2312"/>
                      <w:sz w:val="24"/>
                      <w:color w:val="000000"/>
                    </w:rPr>
                    <w:t xml:space="preserve"> 3.输送带：水平长度≥10m,带宽≥800mm</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不锈钢平板刮粪机</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1.主机：电机额定功率≥1.5Kw</w:t>
                  </w:r>
                  <w:r>
                    <w:br/>
                  </w:r>
                  <w:r>
                    <w:rPr>
                      <w:rFonts w:ascii="仿宋_GB2312" w:hAnsi="仿宋_GB2312" w:cs="仿宋_GB2312" w:eastAsia="仿宋_GB2312"/>
                      <w:sz w:val="24"/>
                      <w:color w:val="000000"/>
                    </w:rPr>
                    <w:t xml:space="preserve"> 2.刮粪板：不锈钢制</w:t>
                  </w:r>
                  <w:r>
                    <w:br/>
                  </w:r>
                  <w:r>
                    <w:rPr>
                      <w:rFonts w:ascii="仿宋_GB2312" w:hAnsi="仿宋_GB2312" w:cs="仿宋_GB2312" w:eastAsia="仿宋_GB2312"/>
                      <w:sz w:val="24"/>
                      <w:color w:val="000000"/>
                    </w:rPr>
                    <w:t xml:space="preserve"> 3.转角轮：双轴承、表面达克罗处理</w:t>
                  </w:r>
                  <w:r>
                    <w:br/>
                  </w:r>
                  <w:r>
                    <w:rPr>
                      <w:rFonts w:ascii="仿宋_GB2312" w:hAnsi="仿宋_GB2312" w:cs="仿宋_GB2312" w:eastAsia="仿宋_GB2312"/>
                      <w:sz w:val="24"/>
                      <w:color w:val="000000"/>
                    </w:rPr>
                    <w:t xml:space="preserve"> 4.电控箱：不锈钢箱体</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超声波人员消毒机</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1.外形尺寸:≥1200X400x230mm</w:t>
                  </w:r>
                  <w:r>
                    <w:br/>
                  </w:r>
                  <w:r>
                    <w:rPr>
                      <w:rFonts w:ascii="仿宋_GB2312" w:hAnsi="仿宋_GB2312" w:cs="仿宋_GB2312" w:eastAsia="仿宋_GB2312"/>
                      <w:sz w:val="24"/>
                      <w:color w:val="000000"/>
                    </w:rPr>
                    <w:t xml:space="preserve"> 2.泵水量:≥6L/min</w:t>
                  </w:r>
                  <w:r>
                    <w:br/>
                  </w:r>
                  <w:r>
                    <w:rPr>
                      <w:rFonts w:ascii="仿宋_GB2312" w:hAnsi="仿宋_GB2312" w:cs="仿宋_GB2312" w:eastAsia="仿宋_GB2312"/>
                      <w:sz w:val="24"/>
                      <w:color w:val="000000"/>
                    </w:rPr>
                    <w:t xml:space="preserve"> 3.雾化器片数:≥60片</w:t>
                  </w:r>
                  <w:r>
                    <w:br/>
                  </w:r>
                  <w:r>
                    <w:rPr>
                      <w:rFonts w:ascii="仿宋_GB2312" w:hAnsi="仿宋_GB2312" w:cs="仿宋_GB2312" w:eastAsia="仿宋_GB2312"/>
                      <w:sz w:val="24"/>
                      <w:color w:val="000000"/>
                    </w:rPr>
                    <w:t xml:space="preserve"> 4.雾化功率:≥1800W</w:t>
                  </w:r>
                  <w:r>
                    <w:br/>
                  </w:r>
                  <w:r>
                    <w:rPr>
                      <w:rFonts w:ascii="仿宋_GB2312" w:hAnsi="仿宋_GB2312" w:cs="仿宋_GB2312" w:eastAsia="仿宋_GB2312"/>
                      <w:sz w:val="24"/>
                      <w:color w:val="000000"/>
                    </w:rPr>
                    <w:t xml:space="preserve"> 5.雾化量:≥50L/H</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卷帘机</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1.卷膜长度：≥100m</w:t>
                  </w:r>
                  <w:r>
                    <w:br/>
                  </w:r>
                  <w:r>
                    <w:rPr>
                      <w:rFonts w:ascii="仿宋_GB2312" w:hAnsi="仿宋_GB2312" w:cs="仿宋_GB2312" w:eastAsia="仿宋_GB2312"/>
                      <w:sz w:val="24"/>
                      <w:color w:val="000000"/>
                    </w:rPr>
                    <w:t xml:space="preserve"> 2.功率：≥100w</w:t>
                  </w:r>
                  <w:r>
                    <w:br/>
                  </w:r>
                  <w:r>
                    <w:rPr>
                      <w:rFonts w:ascii="仿宋_GB2312" w:hAnsi="仿宋_GB2312" w:cs="仿宋_GB2312" w:eastAsia="仿宋_GB2312"/>
                      <w:sz w:val="24"/>
                      <w:color w:val="000000"/>
                    </w:rPr>
                    <w:t xml:space="preserve"> 3.卷轴转速：≥3.8rpm </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8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泌乳奶山羊</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w:t>
                  </w:r>
                </w:p>
              </w:tc>
              <w:tc>
                <w:tcPr>
                  <w:tcW w:type="dxa" w:w="2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只</w:t>
                  </w:r>
                </w:p>
              </w:tc>
              <w:tc>
                <w:tcPr>
                  <w:tcW w:type="dxa" w:w="8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①繁殖性能：7～10月龄青年母羊，乳腺发育良好，无间性。</w:t>
                  </w:r>
                  <w:r>
                    <w:br/>
                  </w:r>
                  <w:r>
                    <w:rPr>
                      <w:rFonts w:ascii="仿宋_GB2312" w:hAnsi="仿宋_GB2312" w:cs="仿宋_GB2312" w:eastAsia="仿宋_GB2312"/>
                      <w:sz w:val="24"/>
                      <w:color w:val="000000"/>
                    </w:rPr>
                    <w:t xml:space="preserve"> ②体型外貌：萨能、关中奶山羊。</w:t>
                  </w:r>
                  <w:r>
                    <w:br/>
                  </w:r>
                  <w:r>
                    <w:rPr>
                      <w:rFonts w:ascii="仿宋_GB2312" w:hAnsi="仿宋_GB2312" w:cs="仿宋_GB2312" w:eastAsia="仿宋_GB2312"/>
                      <w:sz w:val="24"/>
                      <w:color w:val="000000"/>
                    </w:rPr>
                    <w:t xml:space="preserve"> ③防疫状况：完成主要疫苗接种。</w:t>
                  </w:r>
                  <w:r>
                    <w:br/>
                  </w:r>
                  <w:r>
                    <w:rPr>
                      <w:rFonts w:ascii="仿宋_GB2312" w:hAnsi="仿宋_GB2312" w:cs="仿宋_GB2312" w:eastAsia="仿宋_GB2312"/>
                      <w:sz w:val="24"/>
                      <w:color w:val="000000"/>
                    </w:rPr>
                    <w:t xml:space="preserve"> ④健康状况：青年母羊必须健康、活泼、无布病、伪结核等传染病和生殖系统疾病。</w:t>
                  </w:r>
                </w:p>
              </w:tc>
              <w:tc>
                <w:tcPr>
                  <w:tcW w:type="dxa" w:w="225"/>
                  <w:tcBorders>
                    <w:top w:val="none" w:color="000000" w:sz="4"/>
                    <w:left w:val="none" w:color="000000" w:sz="4"/>
                    <w:bottom w:val="none" w:color="000000" w:sz="4"/>
                    <w:right w:val="non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合同签订后45日历天内完成项目供货、设备调试全部工作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供应商提交完相关资料，经采购人确认验收合格后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其余百分之三（3%）留作为质保金（质保期一年结束后退还）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 1、非人为损坏情形：保修范围限于货物自身质量问题（如设计缺陷、制造工艺不良），因甲方使用不当（如违规操作、未按说明书维护）、不可抗力（地震、洪水）或第三方原因导致的损坏，一般不在保修范围内。 2、 附加服务：免费维修、更换零件、远程故障诊断。 二、保修期约定自验收合格签字之日起12个月；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提供2023年或2024年度的财务审计报告（至少包括资产负债表和利润表，成立时间至提交响应文件截止时间不足一年的可提供成立后任意时段的资产负债表），或其基本存款账户开户银行出具的近三个月的资信证明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提供2024年度6月至今已缴纳的至少3个月的纳税证明（银行缴费凭证）或完税证明，依法免税的单位应提供相关证明材料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提供2024年度6月至今已缴存的至少3个月的社会养老保障资金银行缴费单据或社保机构开具的社会养老保险参保缴费情况证明，依法不需要缴纳社会保障资金的单位应提供相关证明材料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法定代表人参加投标的，须提供法定代表人资格证明书；法定代表人授权他人参加投标的，须提供法定代表人授权委托书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332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投标人提供参加政府采购活动前三年内在经营活动中没有重大违法记录的书面声明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本项目不接受联合体投标，单位负责人为同一人或者存在直接控股、管理关系的不同供应商，不得同时参加本项目同一标段投标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不专门面向中小企业采购</w:t>
            </w:r>
          </w:p>
        </w:tc>
        <w:tc>
          <w:tcPr>
            <w:tcW w:type="dxa" w:w="3322"/>
          </w:tcPr>
          <w:p>
            <w:pPr>
              <w:pStyle w:val="null3"/>
            </w:pPr>
            <w:r>
              <w:rPr>
                <w:rFonts w:ascii="仿宋_GB2312" w:hAnsi="仿宋_GB2312" w:cs="仿宋_GB2312" w:eastAsia="仿宋_GB2312"/>
              </w:rPr>
              <w:t>非专门面向中小企业</w:t>
            </w:r>
          </w:p>
        </w:tc>
        <w:tc>
          <w:tcPr>
            <w:tcW w:type="dxa" w:w="1661"/>
          </w:tcPr>
          <w:p>
            <w:pPr>
              <w:pStyle w:val="null3"/>
            </w:pPr>
            <w:r>
              <w:rPr>
                <w:rFonts w:ascii="仿宋_GB2312" w:hAnsi="仿宋_GB2312" w:cs="仿宋_GB2312" w:eastAsia="仿宋_GB2312"/>
              </w:rPr>
              <w:t>中小企业声明函.docx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业绩.docx 技术方案.pdf 中小企业声明函.docx 商务应答表 资格证明文件.docx 产品技术参数表 分项报价表.docx 投标函 其他应说明的事项.docx 残疾人福利性单位声明函 拒绝政府采购领域商业贿赂承诺书.docx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 超过采购预算金额和最高限价。</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投标文件中项目名称、项目编号与本项目一致</w:t>
            </w:r>
          </w:p>
        </w:tc>
        <w:tc>
          <w:tcPr>
            <w:tcW w:type="dxa" w:w="1661"/>
          </w:tcPr>
          <w:p>
            <w:pPr>
              <w:pStyle w:val="null3"/>
            </w:pPr>
            <w:r>
              <w:rPr>
                <w:rFonts w:ascii="仿宋_GB2312" w:hAnsi="仿宋_GB2312" w:cs="仿宋_GB2312" w:eastAsia="仿宋_GB2312"/>
              </w:rPr>
              <w:t>业绩.docx 技术方案.pdf 中小企业声明函.docx 商务应答表 资格证明文件.docx 产品技术参数表 分项报价表.docx 投标函 其他应说明的事项.docx 残疾人福利性单位声明函 拒绝政府采购领域商业贿赂承诺书.docx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须完全响应招标文件采购需求中实质性条款（包括技术参数中“★”采购数量、商务条款），且内容不得含有采购人不能接受的附加条件。</w:t>
            </w:r>
          </w:p>
        </w:tc>
        <w:tc>
          <w:tcPr>
            <w:tcW w:type="dxa" w:w="1661"/>
          </w:tcPr>
          <w:p>
            <w:pPr>
              <w:pStyle w:val="null3"/>
            </w:pPr>
            <w:r>
              <w:rPr>
                <w:rFonts w:ascii="仿宋_GB2312" w:hAnsi="仿宋_GB2312" w:cs="仿宋_GB2312" w:eastAsia="仿宋_GB2312"/>
              </w:rPr>
              <w:t>产品技术参数表 分项报价表.docx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供应商相关证明资料保持一致</w:t>
            </w:r>
          </w:p>
        </w:tc>
        <w:tc>
          <w:tcPr>
            <w:tcW w:type="dxa" w:w="1661"/>
          </w:tcPr>
          <w:p>
            <w:pPr>
              <w:pStyle w:val="null3"/>
            </w:pPr>
            <w:r>
              <w:rPr>
                <w:rFonts w:ascii="仿宋_GB2312" w:hAnsi="仿宋_GB2312" w:cs="仿宋_GB2312" w:eastAsia="仿宋_GB2312"/>
              </w:rPr>
              <w:t>业绩.docx 技术方案.pdf 中小企业声明函.docx 商务应答表 资格证明文件.docx 产品技术参数表 分项报价表.docx 投标函 其他应说明的事项.docx 残疾人福利性单位声明函 拒绝政府采购领域商业贿赂承诺书.docx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技术参数清楚、明确并能逐条响应招标文件“技术参数表”中除★项外所有参数要求60项，每项负偏离扣0.25分，扣完为止。注：证明材料包括但不限于产品制造商授权、检测报告、产品彩页和其他证明资料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投标人提供所投产品的合法来源渠道证明文件，满分7分，不提供不得分。以下资料提供任意一种： 1、如投标人为所投产品代理商：提供货物的合法来源渠道证明文件（例如：产品制造商授权、销售协议、代理协议等证明文件），每提供一个产品得0.5分，满分7分。 2、如投标人为所投产品的制造商：需提供情况说明（说明某一项产品为制造商自己生产），每提供一个产品得0.5分，满7分。 备注：以加盖投标人公章的证明材料复印件为计分依据。</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投标人需针对本项目提供完整的项目实施方案。内容包含：①供货组织安排②实施计划及进度计划③安装调试及验收方案④物力调配及保障措施。 二、评审标准 1、完整性：方案须全面，对评审内容中的各项要求描述详细；2、可实施性：切合本项目实际情况，实施步骤清晰、合理；3、针对性：方案能够紧扣项目实际情况，内容科学合理。 三、赋分依据（满分 18分）①供货组织安排：每完全满足一个评审标准得 1.5 分，满分 4.5 分； ②实施计划及进度计划:每完全满足一个评审标准得 1 .5分，满分 4.5分； ③安装调试及验收方案:每完全满足一个评审标准得 1.5 分，满分4.5分； ④物力调配及保障措施：每完全满足一个评审标准得 1.5分，满分 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根据项目实际需求，提供质量保证方案。内容包含：①产品性能②使用寿命及效果③交货及安装时间。 二、评审标准 1、完整性：方案须全面，对评审内容中的各项要求描述详细；2、可实施性：切合本项目实际情况，实施步骤清晰、合理；3、针对性：方案能够紧扣项目实际情况，内容科学合理。 三、赋分依据（满分 12 分） ①产品性能：每完全满足一个评审标准得 1 分，满分 3 分； ②使用寿命及效果:每完全满足一个评审标准得 1 分，满分 3分； ③交货及安装时间:每完全满足一个评审标准得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提供投标人2021年1月至今（时间以合同签订时间为准）类似项目业绩，每份计1分，计满4分为止。 备注：需提供完整业绩合同，并加盖投标人公章。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根据项目实际需求提供售后服务方案。内容包含：①售后服务范围及保障措施②售后服务承诺③响应时间④故障处理及补救措施。 二、评审标准 1、完整性：方案须全面，对评审内容中的各项要求描述详细；2、可实施性：切合本项目实际情况，实施步骤清晰、合理；3、针对性：方案能够紧扣项目实际情况，内容科学合理。 三、赋分依据（满分12分） ①售后服务范围及保障措施：每完全满足一个评审标准得 1 分，满分3 分； ②售后服务承诺:每完全满足一个评审标准得 1 分，满分 3 分；③响应时间:每完全满足一个评审标准得1分，满分3分； ④故障处理及补救措施:每完全满足一个评审标准得1分，满分3分。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其它承诺</w:t>
            </w:r>
          </w:p>
        </w:tc>
        <w:tc>
          <w:tcPr>
            <w:tcW w:type="dxa" w:w="2492"/>
          </w:tcPr>
          <w:p>
            <w:pPr>
              <w:pStyle w:val="null3"/>
            </w:pPr>
            <w:r>
              <w:rPr>
                <w:rFonts w:ascii="仿宋_GB2312" w:hAnsi="仿宋_GB2312" w:cs="仿宋_GB2312" w:eastAsia="仿宋_GB2312"/>
              </w:rPr>
              <w:t>投标人针对本项目提供有利于本项目开展的其它承诺（例如：增值服务、优惠条件等），每提供一项承诺，得1分，满分3分，无承诺不得分。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承诺质保期、供货期优于招标文件要求的，每优于一项得 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 其他投标人的价格分统一按照下列公式计算： 投标报价得分=（评标基准价/投标报价）×价格权值（即30%）×100（因落实政府采购政策进行价格调整的，以调整后的价格计算评标基准价和投标报价）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