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版本号：ZXF20250825-ZFCG20250924001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2025年富平县城关街道办集新村产业路硬化项目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ZXF20250825-ZFCG</w:t>
      </w:r>
      <w:r>
        <w:br/>
      </w:r>
      <w:r>
        <w:br/>
      </w:r>
      <w:r>
        <w:br/>
      </w:r>
    </w:p>
    <w:p>
      <w:pPr>
        <w:pStyle w:val="null3"/>
        <w:jc w:val="center"/>
        <w:outlineLvl w:val="2"/>
      </w:pPr>
      <w:r>
        <w:rPr>
          <w:rFonts w:ascii="仿宋_GB2312" w:hAnsi="仿宋_GB2312" w:cs="仿宋_GB2312" w:eastAsia="仿宋_GB2312"/>
          <w:sz w:val="28"/>
          <w:b/>
        </w:rPr>
        <w:t>富平县人民政府城关街道办事处</w:t>
      </w:r>
    </w:p>
    <w:p>
      <w:pPr>
        <w:pStyle w:val="null3"/>
        <w:jc w:val="center"/>
        <w:outlineLvl w:val="2"/>
      </w:pPr>
      <w:r>
        <w:rPr>
          <w:rFonts w:ascii="仿宋_GB2312" w:hAnsi="仿宋_GB2312" w:cs="仿宋_GB2312" w:eastAsia="仿宋_GB2312"/>
          <w:sz w:val="28"/>
          <w:b/>
        </w:rPr>
        <w:t>中轩项目管理有限公司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中轩项目管理有限公司</w:t>
      </w:r>
      <w:r>
        <w:rPr>
          <w:rFonts w:ascii="仿宋_GB2312" w:hAnsi="仿宋_GB2312" w:cs="仿宋_GB2312" w:eastAsia="仿宋_GB2312"/>
        </w:rPr>
        <w:t>（以下简称“代理机构”）受</w:t>
      </w:r>
      <w:r>
        <w:rPr>
          <w:rFonts w:ascii="仿宋_GB2312" w:hAnsi="仿宋_GB2312" w:cs="仿宋_GB2312" w:eastAsia="仿宋_GB2312"/>
        </w:rPr>
        <w:t>富平县人民政府城关街道办事处</w:t>
      </w:r>
      <w:r>
        <w:rPr>
          <w:rFonts w:ascii="仿宋_GB2312" w:hAnsi="仿宋_GB2312" w:cs="仿宋_GB2312" w:eastAsia="仿宋_GB2312"/>
        </w:rPr>
        <w:t>委托，拟对</w:t>
      </w:r>
      <w:r>
        <w:rPr>
          <w:rFonts w:ascii="仿宋_GB2312" w:hAnsi="仿宋_GB2312" w:cs="仿宋_GB2312" w:eastAsia="仿宋_GB2312"/>
        </w:rPr>
        <w:t>2025年富平县城关街道办集新村产业路硬化项目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ZXF20250825-ZFCG</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2025年富平县城关街道办集新村产业路硬化项目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2025年富平县城关街道办集新村产业路硬化项目，主要建设内容包括硬化混凝土路面并铺设3:7灰土基层4900㎡（1400m*3.5m）,厚度18cm。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采购包1（2025年富平县城关街道办集新村产业路硬化项目）：属于专门面向中小企业采购。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法注册的企业提供营业执照（有统一社会信用代码）并附企业年度报告；事业法人提供事业单位法人证书、组织机构代码证书；其他组织应提供合法证明文件；自然人提供身份证：合法注册的企业提供营业执照（有统一社会信用代码）并附企业年度报告；事业法人提供事业单位法人证书、组织机构代码证书；其他组织应提供合法证明文件；自然人提供身份证；</w:t>
      </w:r>
    </w:p>
    <w:p>
      <w:pPr>
        <w:pStyle w:val="null3"/>
      </w:pPr>
      <w:r>
        <w:rPr>
          <w:rFonts w:ascii="仿宋_GB2312" w:hAnsi="仿宋_GB2312" w:cs="仿宋_GB2312" w:eastAsia="仿宋_GB2312"/>
        </w:rPr>
        <w:t>2、法定代表人授权委托书（附法定代表人、被授权人身份证复印件）；法定代表人参加投标只须提供法定代表人身份证明（附法定代表人身份证复印件）：法定代表人授权委托书（附法定代表人、被授权人身份证复印件）；法定代表人参加投标只须提供法定代表人身份证明（附法定代表人身份证复印件）；</w:t>
      </w:r>
    </w:p>
    <w:p>
      <w:pPr>
        <w:pStyle w:val="null3"/>
      </w:pPr>
      <w:r>
        <w:rPr>
          <w:rFonts w:ascii="仿宋_GB2312" w:hAnsi="仿宋_GB2312" w:cs="仿宋_GB2312" w:eastAsia="仿宋_GB2312"/>
        </w:rPr>
        <w:t>3、具备建筑工程或市政公用工程施工总承包三级及以上资质：具备建筑工程或市政公用工程施工总承包三级及以上资质；</w:t>
      </w:r>
    </w:p>
    <w:p>
      <w:pPr>
        <w:pStyle w:val="null3"/>
      </w:pPr>
      <w:r>
        <w:rPr>
          <w:rFonts w:ascii="仿宋_GB2312" w:hAnsi="仿宋_GB2312" w:cs="仿宋_GB2312" w:eastAsia="仿宋_GB2312"/>
        </w:rPr>
        <w:t>4、具有建设行政主管部门核发有效的安全生产许可证：具有建设行政主管部门核发有效的安全生产许可证；</w:t>
      </w:r>
    </w:p>
    <w:p>
      <w:pPr>
        <w:pStyle w:val="null3"/>
      </w:pPr>
      <w:r>
        <w:rPr>
          <w:rFonts w:ascii="仿宋_GB2312" w:hAnsi="仿宋_GB2312" w:cs="仿宋_GB2312" w:eastAsia="仿宋_GB2312"/>
        </w:rPr>
        <w:t>5、拟派项目经理具备建筑工程或市政公用工程注册建造师二级及以上资格和有效的安全生产考核合格证书，提供项目经理无在建工程的相关证明材料或承诺书：拟派项目经理具备建筑工程或市政公用工程注册建造师二级及以上资格和有效的安全生产考核合格证书，提供项目经理无在建工程的相关证明材料或承诺书；</w:t>
      </w:r>
    </w:p>
    <w:p>
      <w:pPr>
        <w:pStyle w:val="null3"/>
      </w:pPr>
      <w:r>
        <w:rPr>
          <w:rFonts w:ascii="仿宋_GB2312" w:hAnsi="仿宋_GB2312" w:cs="仿宋_GB2312" w:eastAsia="仿宋_GB2312"/>
        </w:rPr>
        <w:t>6、提供2024年至今任意一年经审计的财务报告（成立时间至提交磋商响应文件截止时间不足一年的可提供成立后任意时段的财务报表）：提供2024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提供依法缴纳税收的良好记录（提供递交磋商响应文件截止时间前六个月内任意一个月份的缴纳凭据复印件并加盖单位公章。依法免税或开标前一年内零申报的供应商应提供相关证明文件）：提供依法缴纳税收的良好记录（提供递交磋商响应文件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提供依法缴纳社会保障资金的良好记录（提供递交磋商响应文件截止时间前六个月内任意一个月份的缴纳凭据复印件并加盖单位公章。依法不需要缴纳社会保障资金的供应商应提供相关证明文件）：提供依法缴纳社会保障资金的良好记录（提供递交磋商响应文件截止时间前六个月内任意一个月份的缴纳凭据复印件并加盖单位公章。依法不需要缴纳社会保障资金的供应商应提供相关证明文件）；</w:t>
      </w:r>
    </w:p>
    <w:p>
      <w:pPr>
        <w:pStyle w:val="null3"/>
      </w:pPr>
      <w:r>
        <w:rPr>
          <w:rFonts w:ascii="仿宋_GB2312" w:hAnsi="仿宋_GB2312" w:cs="仿宋_GB2312" w:eastAsia="仿宋_GB2312"/>
        </w:rPr>
        <w:t>9、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评审现场查询结果为准）：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评审现场查询结果为准）；</w:t>
      </w:r>
    </w:p>
    <w:p>
      <w:pPr>
        <w:pStyle w:val="null3"/>
      </w:pPr>
      <w:r>
        <w:rPr>
          <w:rFonts w:ascii="仿宋_GB2312" w:hAnsi="仿宋_GB2312" w:cs="仿宋_GB2312" w:eastAsia="仿宋_GB2312"/>
        </w:rPr>
        <w:t>10、提供近三年内在经营活动中无重大违法记录的书面声明：提供近三年内在经营活动中无重大违法记录的书面声明；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11、a.提供磋商保证金转账凭证和基本存款账户信息证明资料复印件或扫描件；b.提供金融机构、担保机构出具的保函复印件或扫描件。以上两种方式二选一，复印件或扫描件均须加盖公章：a.提供磋商保证金转账凭证和基本存款账户信息证明资料复印件或扫描件；b.提供金融机构、担保机构出具的保函复印件或扫描件。以上两种方式二选一，复印件或扫描件均须加盖公章；</w:t>
      </w:r>
    </w:p>
    <w:p>
      <w:pPr>
        <w:pStyle w:val="null3"/>
      </w:pPr>
      <w:r>
        <w:rPr>
          <w:rFonts w:ascii="仿宋_GB2312" w:hAnsi="仿宋_GB2312" w:cs="仿宋_GB2312" w:eastAsia="仿宋_GB2312"/>
        </w:rPr>
        <w:t>12、提供单位负责人为同一人或者存在直接控股、管理关系的不同供应商，不得参加同一合同项下的政府采购活动的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14、本项目专门面向中小企业采购，供应商提供《中小企业声明函》：本项目专门面向中小企业采购，供应商提供《中小企业声明函》。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富平县人民政府城关街道办事处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富平县莲湖大街47号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13279415815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陕西省西安市莲湖区未央路99号荣民中央国际10层1001室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18220852914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采购包1：759,500.00元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开户名称：中轩项目管理有限公司富平分公司</w:t>
            </w:r>
          </w:p>
          <w:p>
            <w:pPr>
              <w:pStyle w:val="null3"/>
            </w:pPr>
            <w:r>
              <w:rPr>
                <w:rFonts w:ascii="仿宋_GB2312" w:hAnsi="仿宋_GB2312" w:cs="仿宋_GB2312" w:eastAsia="仿宋_GB2312"/>
              </w:rPr>
              <w:t>开户银行：中国银行股份有限公司富平县支行</w:t>
            </w:r>
          </w:p>
          <w:p>
            <w:pPr>
              <w:pStyle w:val="null3"/>
            </w:pPr>
            <w:r>
              <w:rPr>
                <w:rFonts w:ascii="仿宋_GB2312" w:hAnsi="仿宋_GB2312" w:cs="仿宋_GB2312" w:eastAsia="仿宋_GB2312"/>
              </w:rPr>
              <w:t>银行账号：103699646516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印发《招标代理服务收费管理暂行办法》的通知（计价格[2002]1980号）计算收取，不计入工程造价，按照《国家发展改革委办公厅关于招标代理服务收费有关问题的通知》（发改办价格〔2003〕857号）规定向成交供应商收取。造价咨询服务费按（陕价行发【2014】88号文件）计算收取，不计入工程造价，由成交供应商支付。若本次招标失败（非代理机构原因），招标代理服务费和造价咨询服务费由采购人支付。具体金额详见中标（成交）结果公告，在领取成交通知书时向采购代理机构一次付清（现金或转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富平县人民政府城关街道办事处</w:t>
      </w:r>
      <w:r>
        <w:rPr>
          <w:rFonts w:ascii="仿宋_GB2312" w:hAnsi="仿宋_GB2312" w:cs="仿宋_GB2312" w:eastAsia="仿宋_GB2312"/>
        </w:rPr>
        <w:t>和</w:t>
      </w:r>
      <w:r>
        <w:rPr>
          <w:rFonts w:ascii="仿宋_GB2312" w:hAnsi="仿宋_GB2312" w:cs="仿宋_GB2312" w:eastAsia="仿宋_GB2312"/>
        </w:rPr>
        <w:t>中轩项目管理有限公司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富平县人民政府城关街道办事处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富平县人民政府城关街道办事处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在签订施工合同时另行约定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联系电话：18220852914</w:t>
      </w:r>
    </w:p>
    <w:p>
      <w:pPr>
        <w:pStyle w:val="null3"/>
      </w:pPr>
      <w:r>
        <w:rPr>
          <w:rFonts w:ascii="仿宋_GB2312" w:hAnsi="仿宋_GB2312" w:cs="仿宋_GB2312" w:eastAsia="仿宋_GB2312"/>
        </w:rPr>
        <w:t>地址：陕西省西安市莲湖区未央路99号荣民中央国际10层1001室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759,500.00</w:t>
      </w:r>
    </w:p>
    <w:p>
      <w:pPr>
        <w:pStyle w:val="null3"/>
      </w:pPr>
      <w:r>
        <w:rPr>
          <w:rFonts w:ascii="仿宋_GB2312" w:hAnsi="仿宋_GB2312" w:cs="仿宋_GB2312" w:eastAsia="仿宋_GB2312"/>
        </w:rPr>
        <w:t>采购包最高限价（元）: 757,597.22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2025年富平县城关街道办集新村产业路硬化项目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759,500.00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标的名称：2025年富平县城关街道办集新村产业路硬化项目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0"/>
              </w:rPr>
              <w:t>2025年富平县城关街道办集新村产业路硬化项目工程量清单</w:t>
            </w:r>
            <w:r>
              <w:rPr>
                <w:rFonts w:ascii="仿宋_GB2312" w:hAnsi="仿宋_GB2312" w:cs="仿宋_GB2312" w:eastAsia="仿宋_GB2312"/>
                <w:sz w:val="40"/>
              </w:rPr>
              <w:t>编制说明</w:t>
            </w:r>
          </w:p>
          <w:p>
            <w:pPr>
              <w:pStyle w:val="null3"/>
              <w:spacing w:after="120"/>
              <w:jc w:val="both"/>
            </w:pPr>
            <w:r>
              <w:rPr>
                <w:rFonts w:ascii="仿宋_GB2312" w:hAnsi="仿宋_GB2312" w:cs="仿宋_GB2312" w:eastAsia="仿宋_GB2312"/>
                <w:sz w:val="32"/>
              </w:rPr>
              <w:t>一、工程概况</w:t>
            </w:r>
          </w:p>
          <w:p>
            <w:pPr>
              <w:pStyle w:val="null3"/>
              <w:ind w:firstLine="640"/>
              <w:jc w:val="both"/>
            </w:pPr>
            <w:r>
              <w:rPr>
                <w:rFonts w:ascii="仿宋_GB2312" w:hAnsi="仿宋_GB2312" w:cs="仿宋_GB2312" w:eastAsia="仿宋_GB2312"/>
                <w:sz w:val="32"/>
              </w:rPr>
              <w:t>1.工程名称：2025年富平县城关街道办集新村产业路硬化项目</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建设地点</w:t>
            </w:r>
            <w:r>
              <w:rPr>
                <w:rFonts w:ascii="仿宋_GB2312" w:hAnsi="仿宋_GB2312" w:cs="仿宋_GB2312" w:eastAsia="仿宋_GB2312"/>
                <w:sz w:val="32"/>
              </w:rPr>
              <w:t>：</w:t>
            </w:r>
            <w:r>
              <w:rPr>
                <w:rFonts w:ascii="仿宋_GB2312" w:hAnsi="仿宋_GB2312" w:cs="仿宋_GB2312" w:eastAsia="仿宋_GB2312"/>
                <w:sz w:val="32"/>
              </w:rPr>
              <w:t>富平县城关街道办集新村</w:t>
            </w:r>
          </w:p>
          <w:p>
            <w:pPr>
              <w:pStyle w:val="null3"/>
              <w:ind w:firstLine="640"/>
              <w:jc w:val="both"/>
            </w:pPr>
            <w:r>
              <w:rPr>
                <w:rFonts w:ascii="仿宋_GB2312" w:hAnsi="仿宋_GB2312" w:cs="仿宋_GB2312" w:eastAsia="仿宋_GB2312"/>
                <w:sz w:val="32"/>
              </w:rPr>
              <w:t>3.建设内容包括硬化混凝土路面并铺设3:7灰土基层4900㎡（1400m*3.5m）,厚度18cm。</w:t>
            </w:r>
          </w:p>
          <w:p>
            <w:pPr>
              <w:pStyle w:val="null3"/>
              <w:ind w:firstLine="640"/>
              <w:jc w:val="both"/>
            </w:pPr>
            <w:r>
              <w:rPr>
                <w:rFonts w:ascii="仿宋_GB2312" w:hAnsi="仿宋_GB2312" w:cs="仿宋_GB2312" w:eastAsia="仿宋_GB2312"/>
                <w:sz w:val="32"/>
              </w:rPr>
              <w:t>二、编制依据</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2025年富平县城关街道办集新村产业路硬化项目</w:t>
            </w:r>
            <w:r>
              <w:rPr>
                <w:rFonts w:ascii="仿宋_GB2312" w:hAnsi="仿宋_GB2312" w:cs="仿宋_GB2312" w:eastAsia="仿宋_GB2312"/>
                <w:sz w:val="32"/>
              </w:rPr>
              <w:t>》施工图纸</w:t>
            </w:r>
            <w:r>
              <w:rPr>
                <w:rFonts w:ascii="仿宋_GB2312" w:hAnsi="仿宋_GB2312" w:cs="仿宋_GB2312" w:eastAsia="仿宋_GB2312"/>
                <w:sz w:val="32"/>
              </w:rPr>
              <w:t>及</w:t>
            </w:r>
            <w:r>
              <w:rPr>
                <w:rFonts w:ascii="仿宋_GB2312" w:hAnsi="仿宋_GB2312" w:cs="仿宋_GB2312" w:eastAsia="仿宋_GB2312"/>
                <w:sz w:val="32"/>
              </w:rPr>
              <w:t>相关资料</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2.《陕西省建设工程工程量清单计价标准》（2025）及《陕西省建设工程费用规则》（2025）；</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《陕西省房屋建筑与装饰工程工程量计算标准》（</w:t>
            </w:r>
            <w:r>
              <w:rPr>
                <w:rFonts w:ascii="仿宋_GB2312" w:hAnsi="仿宋_GB2312" w:cs="仿宋_GB2312" w:eastAsia="仿宋_GB2312"/>
                <w:sz w:val="32"/>
              </w:rPr>
              <w:t>2025）</w:t>
            </w:r>
            <w:r>
              <w:rPr>
                <w:rFonts w:ascii="仿宋_GB2312" w:hAnsi="仿宋_GB2312" w:cs="仿宋_GB2312" w:eastAsia="仿宋_GB2312"/>
                <w:sz w:val="32"/>
              </w:rPr>
              <w:t>、</w:t>
            </w:r>
            <w:r>
              <w:rPr>
                <w:rFonts w:ascii="仿宋_GB2312" w:hAnsi="仿宋_GB2312" w:cs="仿宋_GB2312" w:eastAsia="仿宋_GB2312"/>
                <w:sz w:val="32"/>
              </w:rPr>
              <w:t>《陕西省市政工程工程量计算标准》（</w:t>
            </w:r>
            <w:r>
              <w:rPr>
                <w:rFonts w:ascii="仿宋_GB2312" w:hAnsi="仿宋_GB2312" w:cs="仿宋_GB2312" w:eastAsia="仿宋_GB2312"/>
                <w:sz w:val="32"/>
              </w:rPr>
              <w:t>2025）</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.《陕西省房屋建筑与装饰工程消耗量定额》（2025），《陕西省市政工程消耗量定额》（2025）</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.《陕西省建设工程施工机械台班费用定额（2025）》、《陕西省建设工程施工仪器仪表台班费用定额（2025）》</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6</w:t>
            </w:r>
            <w:r>
              <w:rPr>
                <w:rFonts w:ascii="仿宋_GB2312" w:hAnsi="仿宋_GB2312" w:cs="仿宋_GB2312" w:eastAsia="仿宋_GB2312"/>
                <w:sz w:val="32"/>
              </w:rPr>
              <w:t>.与建设工程项目有关的标准、规范、图集、技术资料；</w:t>
            </w:r>
          </w:p>
          <w:p>
            <w:pPr>
              <w:pStyle w:val="null3"/>
              <w:ind w:firstLine="640"/>
              <w:jc w:val="both"/>
            </w:pPr>
            <w:r>
              <w:rPr>
                <w:rFonts w:ascii="仿宋_GB2312" w:hAnsi="仿宋_GB2312" w:cs="仿宋_GB2312" w:eastAsia="仿宋_GB2312"/>
                <w:sz w:val="32"/>
              </w:rPr>
              <w:t>7</w:t>
            </w:r>
            <w:r>
              <w:rPr>
                <w:rFonts w:ascii="仿宋_GB2312" w:hAnsi="仿宋_GB2312" w:cs="仿宋_GB2312" w:eastAsia="仿宋_GB2312"/>
                <w:sz w:val="32"/>
              </w:rPr>
              <w:t>.</w:t>
            </w:r>
            <w:r>
              <w:rPr>
                <w:rFonts w:ascii="仿宋_GB2312" w:hAnsi="仿宋_GB2312" w:cs="仿宋_GB2312" w:eastAsia="仿宋_GB2312"/>
                <w:sz w:val="32"/>
              </w:rPr>
              <w:t>结合</w:t>
            </w:r>
            <w:r>
              <w:rPr>
                <w:rFonts w:ascii="仿宋_GB2312" w:hAnsi="仿宋_GB2312" w:cs="仿宋_GB2312" w:eastAsia="仿宋_GB2312"/>
                <w:sz w:val="32"/>
              </w:rPr>
              <w:t>施工现场情况、工程特点</w:t>
            </w:r>
            <w:r>
              <w:rPr>
                <w:rFonts w:ascii="仿宋_GB2312" w:hAnsi="仿宋_GB2312" w:cs="仿宋_GB2312" w:eastAsia="仿宋_GB2312"/>
                <w:sz w:val="32"/>
              </w:rPr>
              <w:t>参照常规的</w:t>
            </w:r>
            <w:r>
              <w:rPr>
                <w:rFonts w:ascii="仿宋_GB2312" w:hAnsi="仿宋_GB2312" w:cs="仿宋_GB2312" w:eastAsia="仿宋_GB2312"/>
                <w:sz w:val="32"/>
              </w:rPr>
              <w:t>施工方案；</w:t>
            </w:r>
          </w:p>
          <w:p>
            <w:pPr>
              <w:pStyle w:val="null3"/>
              <w:ind w:firstLine="640"/>
              <w:jc w:val="both"/>
            </w:pPr>
            <w:r>
              <w:rPr>
                <w:rFonts w:ascii="仿宋_GB2312" w:hAnsi="仿宋_GB2312" w:cs="仿宋_GB2312" w:eastAsia="仿宋_GB2312"/>
                <w:sz w:val="32"/>
              </w:rPr>
              <w:t>8</w:t>
            </w:r>
            <w:r>
              <w:rPr>
                <w:rFonts w:ascii="仿宋_GB2312" w:hAnsi="仿宋_GB2312" w:cs="仿宋_GB2312" w:eastAsia="仿宋_GB2312"/>
                <w:sz w:val="32"/>
              </w:rPr>
              <w:t>.其他相关资料</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三</w:t>
            </w:r>
            <w:r>
              <w:rPr>
                <w:rFonts w:ascii="仿宋_GB2312" w:hAnsi="仿宋_GB2312" w:cs="仿宋_GB2312" w:eastAsia="仿宋_GB2312"/>
                <w:sz w:val="32"/>
              </w:rPr>
              <w:t>、编制说明</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本工程工程量清单仅描述主要特征，图纸明确标识的以图纸为准进行报价，描述不完整的视为已包含在总价中，结算时不予调整。</w:t>
            </w:r>
          </w:p>
          <w:p>
            <w:pPr>
              <w:pStyle w:val="null3"/>
              <w:spacing w:after="120"/>
              <w:ind w:firstLine="640"/>
              <w:jc w:val="both"/>
            </w:pPr>
            <w:r>
              <w:rPr>
                <w:rFonts w:ascii="仿宋_GB2312" w:hAnsi="仿宋_GB2312" w:cs="仿宋_GB2312" w:eastAsia="仿宋_GB2312"/>
                <w:sz w:val="32"/>
              </w:rPr>
              <w:t>2.混凝土暂按预拌混凝土考虑。</w:t>
            </w:r>
          </w:p>
          <w:p>
            <w:pPr>
              <w:pStyle w:val="null3"/>
              <w:ind w:firstLine="640"/>
              <w:jc w:val="both"/>
            </w:pPr>
            <w:r>
              <w:rPr>
                <w:rFonts w:ascii="仿宋_GB2312" w:hAnsi="仿宋_GB2312" w:cs="仿宋_GB2312" w:eastAsia="仿宋_GB2312"/>
                <w:sz w:val="32"/>
              </w:rPr>
              <w:t>四</w:t>
            </w:r>
            <w:r>
              <w:rPr>
                <w:rFonts w:ascii="仿宋_GB2312" w:hAnsi="仿宋_GB2312" w:cs="仿宋_GB2312" w:eastAsia="仿宋_GB2312"/>
                <w:sz w:val="32"/>
              </w:rPr>
              <w:t>、其他说明</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采用广联达计价软件版本</w:t>
            </w:r>
            <w:r>
              <w:rPr>
                <w:rFonts w:ascii="仿宋_GB2312" w:hAnsi="仿宋_GB2312" w:cs="仿宋_GB2312" w:eastAsia="仿宋_GB2312"/>
                <w:sz w:val="32"/>
              </w:rPr>
              <w:t>7.5000.23.1</w:t>
            </w:r>
            <w:r>
              <w:rPr>
                <w:rFonts w:ascii="仿宋_GB2312" w:hAnsi="仿宋_GB2312" w:cs="仿宋_GB2312" w:eastAsia="仿宋_GB2312"/>
                <w:sz w:val="32"/>
              </w:rPr>
              <w:t>。</w:t>
            </w:r>
          </w:p>
          <w:tbl>
            <w:tblPr>
              <w:tblBorders>
                <w:top w:val="single"/>
                <w:left w:val="single"/>
                <w:bottom w:val="single"/>
                <w:right w:val="single"/>
                <w:insideH w:val="single"/>
                <w:insideV w:val="single"/>
              </w:tblBorders>
            </w:tblPr>
            <w:tblGrid>
              <w:gridCol w:w="218"/>
              <w:gridCol w:w="436"/>
              <w:gridCol w:w="262"/>
              <w:gridCol w:w="262"/>
              <w:gridCol w:w="530"/>
              <w:gridCol w:w="176"/>
              <w:gridCol w:w="346"/>
              <w:gridCol w:w="262"/>
              <w:gridCol w:w="262"/>
              <w:gridCol w:w="433"/>
            </w:tblGrid>
            <w:tr>
              <w:tc>
                <w:tcPr>
                  <w:tcW w:type="dxa" w:w="3187"/>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916"/>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工程名称：2025年富平县城关街道办集新村产业路硬化项目</w:t>
                  </w:r>
                </w:p>
              </w:tc>
              <w:tc>
                <w:tcPr>
                  <w:tcW w:type="dxa" w:w="1576"/>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695"/>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1 页</w:t>
                  </w:r>
                </w:p>
              </w:tc>
            </w:tr>
            <w:tr>
              <w:tc>
                <w:tcPr>
                  <w:tcW w:type="dxa" w:w="21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43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52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53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34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95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218"/>
                  <w:vMerge/>
                  <w:tcBorders>
                    <w:top w:val="single" w:color="000000" w:sz="4"/>
                    <w:left w:val="single" w:color="000000" w:sz="4"/>
                    <w:bottom w:val="single" w:color="000000" w:sz="4"/>
                    <w:right w:val="single" w:color="000000" w:sz="4"/>
                  </w:tcBorders>
                </w:tcPr>
                <w:p/>
              </w:tc>
              <w:tc>
                <w:tcPr>
                  <w:tcW w:type="dxa" w:w="436"/>
                  <w:vMerge/>
                  <w:tcBorders>
                    <w:top w:val="single" w:color="000000" w:sz="4"/>
                    <w:left w:val="single" w:color="000000" w:sz="4"/>
                    <w:bottom w:val="single" w:color="000000" w:sz="4"/>
                    <w:right w:val="single" w:color="000000" w:sz="4"/>
                  </w:tcBorders>
                </w:tcPr>
                <w:p/>
              </w:tc>
              <w:tc>
                <w:tcPr>
                  <w:tcW w:type="dxa" w:w="524"/>
                  <w:gridSpan w:val="2"/>
                  <w:vMerge/>
                  <w:tcBorders>
                    <w:top w:val="single" w:color="000000" w:sz="4"/>
                    <w:left w:val="single" w:color="000000" w:sz="4"/>
                    <w:bottom w:val="single" w:color="000000" w:sz="4"/>
                    <w:right w:val="single" w:color="000000" w:sz="4"/>
                  </w:tcBorders>
                </w:tcPr>
                <w:p/>
              </w:tc>
              <w:tc>
                <w:tcPr>
                  <w:tcW w:type="dxa" w:w="530"/>
                  <w:vMerge/>
                  <w:tcBorders>
                    <w:top w:val="single" w:color="000000" w:sz="4"/>
                    <w:left w:val="single" w:color="000000" w:sz="4"/>
                    <w:bottom w:val="single" w:color="000000" w:sz="4"/>
                    <w:right w:val="single" w:color="000000" w:sz="4"/>
                  </w:tcBorders>
                </w:tcPr>
                <w:p/>
              </w:tc>
              <w:tc>
                <w:tcPr>
                  <w:tcW w:type="dxa" w:w="176"/>
                  <w:vMerge/>
                  <w:tcBorders>
                    <w:top w:val="single" w:color="000000" w:sz="4"/>
                    <w:left w:val="single" w:color="000000" w:sz="4"/>
                    <w:bottom w:val="single" w:color="000000" w:sz="4"/>
                    <w:right w:val="single" w:color="000000" w:sz="4"/>
                  </w:tcBorders>
                </w:tcPr>
                <w:p/>
              </w:tc>
              <w:tc>
                <w:tcPr>
                  <w:tcW w:type="dxa" w:w="346"/>
                  <w:vMerge/>
                  <w:tcBorders>
                    <w:top w:val="single" w:color="000000" w:sz="4"/>
                    <w:left w:val="single" w:color="000000" w:sz="4"/>
                    <w:bottom w:val="single" w:color="000000" w:sz="4"/>
                    <w:right w:val="single" w:color="000000" w:sz="4"/>
                  </w:tcBorders>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011601002001</w:t>
                  </w: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水泥混凝土道路面层</w:t>
                  </w: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1.混凝土种类、强度等级:C25预拌混凝土</w:t>
                  </w:r>
                  <w:r>
                    <w:br/>
                  </w:r>
                  <w:r>
                    <w:rPr>
                      <w:rFonts w:ascii="仿宋_GB2312" w:hAnsi="仿宋_GB2312" w:cs="仿宋_GB2312" w:eastAsia="仿宋_GB2312"/>
                      <w:sz w:val="19"/>
                      <w:color w:val="000000"/>
                    </w:rPr>
                    <w:t xml:space="preserve"> 2.厚度:18cm</w:t>
                  </w:r>
                  <w:r>
                    <w:br/>
                  </w:r>
                  <w:r>
                    <w:rPr>
                      <w:rFonts w:ascii="仿宋_GB2312" w:hAnsi="仿宋_GB2312" w:cs="仿宋_GB2312" w:eastAsia="仿宋_GB2312"/>
                      <w:sz w:val="19"/>
                      <w:color w:val="000000"/>
                    </w:rPr>
                    <w:t xml:space="preserve"> 3.路床整形碾压</w:t>
                  </w:r>
                  <w:r>
                    <w:br/>
                  </w:r>
                  <w:r>
                    <w:rPr>
                      <w:rFonts w:ascii="仿宋_GB2312" w:hAnsi="仿宋_GB2312" w:cs="仿宋_GB2312" w:eastAsia="仿宋_GB2312"/>
                      <w:sz w:val="19"/>
                      <w:color w:val="000000"/>
                    </w:rPr>
                    <w:t xml:space="preserve"> 4.路面养生</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4900</w:t>
                  </w: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011601004001</w:t>
                  </w: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道路基层</w:t>
                  </w: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1.基层厚度:150mm</w:t>
                  </w:r>
                  <w:r>
                    <w:br/>
                  </w:r>
                  <w:r>
                    <w:rPr>
                      <w:rFonts w:ascii="仿宋_GB2312" w:hAnsi="仿宋_GB2312" w:cs="仿宋_GB2312" w:eastAsia="仿宋_GB2312"/>
                      <w:sz w:val="19"/>
                      <w:color w:val="000000"/>
                    </w:rPr>
                    <w:t xml:space="preserve"> 2.基层材质、规格或配合比:3：7灰土</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4900</w:t>
                  </w: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754"/>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计</w:t>
                  </w:r>
                </w:p>
              </w:tc>
              <w:tc>
                <w:tcPr>
                  <w:tcW w:type="dxa" w:w="433"/>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tbl>
            <w:tblPr>
              <w:tblBorders>
                <w:top w:val="single"/>
                <w:left w:val="single"/>
                <w:bottom w:val="single"/>
                <w:right w:val="single"/>
                <w:insideH w:val="single"/>
                <w:insideV w:val="single"/>
              </w:tblBorders>
            </w:tblPr>
            <w:tblGrid>
              <w:gridCol w:w="252"/>
              <w:gridCol w:w="444"/>
              <w:gridCol w:w="249"/>
              <w:gridCol w:w="249"/>
              <w:gridCol w:w="670"/>
              <w:gridCol w:w="192"/>
              <w:gridCol w:w="274"/>
              <w:gridCol w:w="249"/>
              <w:gridCol w:w="249"/>
              <w:gridCol w:w="361"/>
            </w:tblGrid>
            <w:tr>
              <w:tc>
                <w:tcPr>
                  <w:tcW w:type="dxa" w:w="3189"/>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措施项目清单计价表</w:t>
                  </w:r>
                </w:p>
              </w:tc>
            </w:tr>
            <w:tr>
              <w:tc>
                <w:tcPr>
                  <w:tcW w:type="dxa" w:w="945"/>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工程名称：2025年富平县城关街道办集新村产业路硬化项目</w:t>
                  </w:r>
                </w:p>
              </w:tc>
              <w:tc>
                <w:tcPr>
                  <w:tcW w:type="dxa" w:w="1634"/>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专业/标段：房屋建筑与装饰工程</w:t>
                  </w:r>
                </w:p>
              </w:tc>
              <w:tc>
                <w:tcPr>
                  <w:tcW w:type="dxa" w:w="610"/>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1 页</w:t>
                  </w:r>
                </w:p>
              </w:tc>
            </w:tr>
            <w:tr>
              <w:tc>
                <w:tcPr>
                  <w:tcW w:type="dxa" w:w="2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44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9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67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项目特征或工作内容</w:t>
                  </w:r>
                </w:p>
              </w:tc>
              <w:tc>
                <w:tcPr>
                  <w:tcW w:type="dxa" w:w="19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w:t>
                  </w:r>
                  <w:r>
                    <w:br/>
                  </w:r>
                  <w:r>
                    <w:rPr>
                      <w:rFonts w:ascii="仿宋_GB2312" w:hAnsi="仿宋_GB2312" w:cs="仿宋_GB2312" w:eastAsia="仿宋_GB2312"/>
                      <w:sz w:val="19"/>
                      <w:color w:val="000000"/>
                    </w:rPr>
                    <w:t xml:space="preserve"> 数量</w:t>
                  </w:r>
                </w:p>
              </w:tc>
              <w:tc>
                <w:tcPr>
                  <w:tcW w:type="dxa" w:w="85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252"/>
                  <w:vMerge/>
                  <w:tcBorders>
                    <w:top w:val="single" w:color="000000" w:sz="4"/>
                    <w:left w:val="single" w:color="000000" w:sz="4"/>
                    <w:bottom w:val="single" w:color="000000" w:sz="4"/>
                    <w:right w:val="single" w:color="000000" w:sz="4"/>
                  </w:tcBorders>
                </w:tcPr>
                <w:p/>
              </w:tc>
              <w:tc>
                <w:tcPr>
                  <w:tcW w:type="dxa" w:w="444"/>
                  <w:vMerge/>
                  <w:tcBorders>
                    <w:top w:val="single" w:color="000000" w:sz="4"/>
                    <w:left w:val="single" w:color="000000" w:sz="4"/>
                    <w:bottom w:val="single" w:color="000000" w:sz="4"/>
                    <w:right w:val="single" w:color="000000" w:sz="4"/>
                  </w:tcBorders>
                </w:tcPr>
                <w:p/>
              </w:tc>
              <w:tc>
                <w:tcPr>
                  <w:tcW w:type="dxa" w:w="498"/>
                  <w:gridSpan w:val="2"/>
                  <w:vMerge/>
                  <w:tcBorders>
                    <w:top w:val="single" w:color="000000" w:sz="4"/>
                    <w:left w:val="single" w:color="000000" w:sz="4"/>
                    <w:bottom w:val="single" w:color="000000" w:sz="4"/>
                    <w:right w:val="single" w:color="000000" w:sz="4"/>
                  </w:tcBorders>
                </w:tcPr>
                <w:p/>
              </w:tc>
              <w:tc>
                <w:tcPr>
                  <w:tcW w:type="dxa" w:w="670"/>
                  <w:vMerge/>
                  <w:tcBorders>
                    <w:top w:val="single" w:color="000000" w:sz="4"/>
                    <w:left w:val="single" w:color="000000" w:sz="4"/>
                    <w:bottom w:val="single" w:color="000000" w:sz="4"/>
                    <w:right w:val="single" w:color="000000" w:sz="4"/>
                  </w:tcBorders>
                </w:tcPr>
                <w:p/>
              </w:tc>
              <w:tc>
                <w:tcPr>
                  <w:tcW w:type="dxa" w:w="192"/>
                  <w:vMerge/>
                  <w:tcBorders>
                    <w:top w:val="single" w:color="000000" w:sz="4"/>
                    <w:left w:val="single" w:color="000000" w:sz="4"/>
                    <w:bottom w:val="single" w:color="000000" w:sz="4"/>
                    <w:right w:val="single" w:color="000000" w:sz="4"/>
                  </w:tcBorders>
                </w:tcPr>
                <w:p/>
              </w:tc>
              <w:tc>
                <w:tcPr>
                  <w:tcW w:type="dxa" w:w="274"/>
                  <w:vMerge/>
                  <w:tcBorders>
                    <w:top w:val="single" w:color="000000" w:sz="4"/>
                    <w:left w:val="single" w:color="000000" w:sz="4"/>
                    <w:bottom w:val="single" w:color="000000" w:sz="4"/>
                    <w:right w:val="single" w:color="000000" w:sz="4"/>
                  </w:tcBorders>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w:t>
                  </w: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通用措施</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011801001001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安全文明施工措施费</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011801004001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冬雨季施工增加费</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011801003001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夜间施工增加费</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011801002001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二次搬运费</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011801005001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测量放线定位复测费</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二</w:t>
                  </w: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专业措施</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9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828"/>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tbl>
            <w:tblPr>
              <w:tblBorders>
                <w:top w:val="single"/>
                <w:left w:val="single"/>
                <w:bottom w:val="single"/>
                <w:right w:val="single"/>
                <w:insideH w:val="single"/>
                <w:insideV w:val="single"/>
              </w:tblBorders>
            </w:tblPr>
            <w:tblGrid>
              <w:gridCol w:w="380"/>
              <w:gridCol w:w="393"/>
              <w:gridCol w:w="393"/>
              <w:gridCol w:w="411"/>
              <w:gridCol w:w="349"/>
              <w:gridCol w:w="393"/>
              <w:gridCol w:w="393"/>
              <w:gridCol w:w="473"/>
            </w:tblGrid>
            <w:tr>
              <w:tc>
                <w:tcPr>
                  <w:tcW w:type="dxa" w:w="3185"/>
                  <w:gridSpan w:val="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3"/>
                      <w:b/>
                      <w:color w:val="000000"/>
                    </w:rPr>
                    <w:t>其他项目清单计价表</w:t>
                  </w:r>
                </w:p>
              </w:tc>
            </w:tr>
            <w:tr>
              <w:tc>
                <w:tcPr>
                  <w:tcW w:type="dxa" w:w="773"/>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工程名称：2025年富平县城关街道办集新村产业路硬化项目</w:t>
                  </w:r>
                </w:p>
              </w:tc>
              <w:tc>
                <w:tcPr>
                  <w:tcW w:type="dxa" w:w="1546"/>
                  <w:gridSpan w:val="4"/>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866"/>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1 页</w:t>
                  </w:r>
                </w:p>
              </w:tc>
            </w:tr>
            <w:tr>
              <w:tc>
                <w:tcPr>
                  <w:tcW w:type="dxa" w:w="3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7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1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3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125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 （元）</w:t>
                  </w:r>
                </w:p>
              </w:tc>
            </w:tr>
            <w:tr>
              <w:tc>
                <w:tcPr>
                  <w:tcW w:type="dxa" w:w="380"/>
                  <w:vMerge/>
                  <w:tcBorders>
                    <w:top w:val="single" w:color="000000" w:sz="4"/>
                    <w:left w:val="single" w:color="000000" w:sz="4"/>
                    <w:bottom w:val="single" w:color="000000" w:sz="4"/>
                    <w:right w:val="single" w:color="000000" w:sz="4"/>
                  </w:tcBorders>
                </w:tcPr>
                <w:p/>
              </w:tc>
              <w:tc>
                <w:tcPr>
                  <w:tcW w:type="dxa" w:w="786"/>
                  <w:gridSpan w:val="2"/>
                  <w:vMerge/>
                  <w:tcBorders>
                    <w:top w:val="single" w:color="000000" w:sz="4"/>
                    <w:left w:val="single" w:color="000000" w:sz="4"/>
                    <w:bottom w:val="single" w:color="000000" w:sz="4"/>
                    <w:right w:val="single" w:color="000000" w:sz="4"/>
                  </w:tcBorders>
                </w:tcPr>
                <w:p/>
              </w:tc>
              <w:tc>
                <w:tcPr>
                  <w:tcW w:type="dxa" w:w="411"/>
                  <w:vMerge/>
                  <w:tcBorders>
                    <w:top w:val="single" w:color="000000" w:sz="4"/>
                    <w:left w:val="single" w:color="000000" w:sz="4"/>
                    <w:bottom w:val="single" w:color="000000" w:sz="4"/>
                    <w:right w:val="single" w:color="000000" w:sz="4"/>
                  </w:tcBorders>
                </w:tcPr>
                <w:p/>
              </w:tc>
              <w:tc>
                <w:tcPr>
                  <w:tcW w:type="dxa" w:w="349"/>
                  <w:vMerge/>
                  <w:tcBorders>
                    <w:top w:val="single" w:color="000000" w:sz="4"/>
                    <w:left w:val="single" w:color="000000" w:sz="4"/>
                    <w:bottom w:val="single" w:color="000000" w:sz="4"/>
                    <w:right w:val="single" w:color="000000" w:sz="4"/>
                  </w:tcBorders>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33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暂列金额</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33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专业工程暂估价</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33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计日工</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w:t>
                  </w: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33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总承包服务费</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w:t>
                  </w: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发包人供应材料保管费</w:t>
                  </w: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w:t>
                  </w: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发包人发包专业工程管理服务费_协调与管理</w:t>
                  </w: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w:t>
                  </w: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发包人发包专业工程管理服务费_协调、管理并提供配合服务</w:t>
                  </w: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33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合同中约定的其他项目</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w:t>
                  </w: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优质工程增加费</w:t>
                  </w: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w:t>
                  </w: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智慧工地增加费</w:t>
                  </w: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712"/>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计</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185"/>
                  <w:gridSpan w:val="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注：1   表中“合同中约定的其他项目”适用于期中支付和工程结算时填写；</w:t>
                  </w:r>
                  <w:r>
                    <w:br/>
                  </w:r>
                  <w:r>
                    <w:rPr>
                      <w:rFonts w:ascii="仿宋_GB2312" w:hAnsi="仿宋_GB2312" w:cs="仿宋_GB2312" w:eastAsia="仿宋_GB2312"/>
                      <w:sz w:val="18"/>
                      <w:color w:val="000000"/>
                    </w:rPr>
                    <w:t xml:space="preserve">     2   其中采用费率计价方式的，取费基数填写到“工程数量”列，费率填写到“综合单价”列；采用总价计价方式的可         只填写“合价”列数值。</w:t>
                  </w:r>
                </w:p>
              </w:tc>
            </w:tr>
          </w:tbl>
          <w:p>
            <w:pPr>
              <w:pStyle w:val="null3"/>
              <w:ind w:firstLine="640"/>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计划工期：45日历天(计划开、竣工日期以施工合同签订时间为准)；2、付款方式：合同签订后付合同价款的40%，初验合格后付至合同价款的80%，待工程决算审计报告双方签字盖章认可后，付至审计价款的97%，剩余价款缺陷责任期满后一次性付清（具体付款以财政衔接推进乡村振兴补助资金实际下达为依据）。</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1、投标时供应商无需提供纸质版响应文件。成交供应商在领取成交通知书前将纸质版响应文件正本1份、副本2份、电子版（U 盘）文件3份，打印盖章后提交至采购代理公司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陕西省财政厅关于印发《陕西省中小企业政府采购信用融资办法》 （陕财办采〔2018〕23号）；（7）《陕西省财政厅关于加快推进我省中小企业政府采购信用融资工作的通知》（陕财办采〔2020〕15号）；（8）《政府采购促进中小企业发展管理办法》（财库〔2020〕46号）；（9）《关于进一步加大政府采购支持中小企业力度的通知》（财库〔2022〕19号）；（10）《财政部 农业农村部 国家乡村振兴局关于运用政府采购政策支持乡村产业振兴的通知》（财库〔2021〕19号）；（11）陕西省财政厅《关于进一步加强政府绿色采购有关问题的通知》（陕财办〔2021〕29号）；（12）《关于促进政府采购公平竞争优化营商环境的通知》（财库〔2019〕38号）；（13）《陕西省财政厅关于进一步落实政府采购支持中小企业相关政策的通知》（陕财办采〔2023〕3号）；（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供应商资格要求.docx 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332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法定代表人授权委托书（附法定代表人、被授权人身份证复印件）；法定代表人参加投标只须提供法定代表人身份证明（附法定代表人身份证复印件）</w:t>
            </w:r>
          </w:p>
        </w:tc>
        <w:tc>
          <w:tcPr>
            <w:tcW w:type="dxa" w:w="3322"/>
          </w:tcPr>
          <w:p>
            <w:pPr>
              <w:pStyle w:val="null3"/>
            </w:pPr>
            <w:r>
              <w:rPr>
                <w:rFonts w:ascii="仿宋_GB2312" w:hAnsi="仿宋_GB2312" w:cs="仿宋_GB2312" w:eastAsia="仿宋_GB2312"/>
              </w:rPr>
              <w:t>法定代表人授权委托书（附法定代表人、被授权人身份证复印件）；法定代表人参加投标只须提供法定代表人身份证明（附法定代表人身份证复印件）；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具备建筑工程或市政公用工程施工总承包三级及以上资质</w:t>
            </w:r>
          </w:p>
        </w:tc>
        <w:tc>
          <w:tcPr>
            <w:tcW w:type="dxa" w:w="3322"/>
          </w:tcPr>
          <w:p>
            <w:pPr>
              <w:pStyle w:val="null3"/>
            </w:pPr>
            <w:r>
              <w:rPr>
                <w:rFonts w:ascii="仿宋_GB2312" w:hAnsi="仿宋_GB2312" w:cs="仿宋_GB2312" w:eastAsia="仿宋_GB2312"/>
              </w:rPr>
              <w:t>具备建筑工程或市政公用工程施工总承包三级及以上资质；</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具有建设行政主管部门核发有效的安全生产许可证</w:t>
            </w:r>
          </w:p>
        </w:tc>
        <w:tc>
          <w:tcPr>
            <w:tcW w:type="dxa" w:w="3322"/>
          </w:tcPr>
          <w:p>
            <w:pPr>
              <w:pStyle w:val="null3"/>
            </w:pPr>
            <w:r>
              <w:rPr>
                <w:rFonts w:ascii="仿宋_GB2312" w:hAnsi="仿宋_GB2312" w:cs="仿宋_GB2312" w:eastAsia="仿宋_GB2312"/>
              </w:rPr>
              <w:t>具有建设行政主管部门核发有效的安全生产许可证；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拟派项目经理具备建筑工程或市政公用工程注册建造师二级及以上资格和有效的安全生产考核合格证书，提供项目经理无在建工程的相关证明材料或承诺书</w:t>
            </w:r>
          </w:p>
        </w:tc>
        <w:tc>
          <w:tcPr>
            <w:tcW w:type="dxa" w:w="3322"/>
          </w:tcPr>
          <w:p>
            <w:pPr>
              <w:pStyle w:val="null3"/>
            </w:pPr>
            <w:r>
              <w:rPr>
                <w:rFonts w:ascii="仿宋_GB2312" w:hAnsi="仿宋_GB2312" w:cs="仿宋_GB2312" w:eastAsia="仿宋_GB2312"/>
              </w:rPr>
              <w:t>拟派项目经理具备建筑工程或市政公用工程注册建造师二级及以上资格和有效的安全生产考核合格证书，提供项目经理无在建工程的相关证明材料或承诺书；</w:t>
            </w:r>
          </w:p>
        </w:tc>
        <w:tc>
          <w:tcPr>
            <w:tcW w:type="dxa" w:w="1661"/>
          </w:tcPr>
          <w:p>
            <w:pPr>
              <w:pStyle w:val="null3"/>
            </w:pPr>
            <w:r>
              <w:rPr>
                <w:rFonts w:ascii="仿宋_GB2312" w:hAnsi="仿宋_GB2312" w:cs="仿宋_GB2312" w:eastAsia="仿宋_GB2312"/>
              </w:rPr>
              <w:t>项目组织机构.docx 供应商资格要求.docx 标的清单 项目管理机构组成表.pdf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提供2024年至今任意一年经审计的财务报告（成立时间至提交磋商响应文件截止时间不足一年的可提供成立后任意时段的财务报表）</w:t>
            </w:r>
          </w:p>
        </w:tc>
        <w:tc>
          <w:tcPr>
            <w:tcW w:type="dxa" w:w="332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332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332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评审现场查询结果为准）</w:t>
            </w:r>
          </w:p>
        </w:tc>
        <w:tc>
          <w:tcPr>
            <w:tcW w:type="dxa" w:w="332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评审现场查询结果为准）；</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a.提供磋商保证金转账凭证和基本存款账户信息证明资料复印件或扫描件；b.提供金融机构、担保机构出具的保函复印件或扫描件。以上两种方式二选一，复印件或扫描件均须加盖公章</w:t>
            </w:r>
          </w:p>
        </w:tc>
        <w:tc>
          <w:tcPr>
            <w:tcW w:type="dxa" w:w="3322"/>
          </w:tcPr>
          <w:p>
            <w:pPr>
              <w:pStyle w:val="null3"/>
            </w:pPr>
            <w:r>
              <w:rPr>
                <w:rFonts w:ascii="仿宋_GB2312" w:hAnsi="仿宋_GB2312" w:cs="仿宋_GB2312" w:eastAsia="仿宋_GB2312"/>
              </w:rPr>
              <w:t>a.提供磋商保证金转账凭证和基本存款账户信息证明资料复印件或扫描件；b.提供金融机构、担保机构出具的保函复印件或扫描件。以上两种方式二选一，复印件或扫描件均须加盖公章；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本项目专门面向中小企业采购，供应商提供《中小企业声明函》</w:t>
            </w:r>
          </w:p>
        </w:tc>
        <w:tc>
          <w:tcPr>
            <w:tcW w:type="dxa" w:w="3322"/>
          </w:tcPr>
          <w:p>
            <w:pPr>
              <w:pStyle w:val="null3"/>
            </w:pPr>
            <w:r>
              <w:rPr>
                <w:rFonts w:ascii="仿宋_GB2312" w:hAnsi="仿宋_GB2312" w:cs="仿宋_GB2312" w:eastAsia="仿宋_GB2312"/>
              </w:rPr>
              <w:t>本项目专门面向中小企业采购，供应商提供《中小企业声明函》。</w:t>
            </w:r>
          </w:p>
        </w:tc>
        <w:tc>
          <w:tcPr>
            <w:tcW w:type="dxa" w:w="1661"/>
          </w:tcPr>
          <w:p>
            <w:pPr>
              <w:pStyle w:val="null3"/>
            </w:pPr>
            <w:r>
              <w:rPr>
                <w:rFonts w:ascii="仿宋_GB2312" w:hAnsi="仿宋_GB2312" w:cs="仿宋_GB2312" w:eastAsia="仿宋_GB2312"/>
              </w:rPr>
              <w:t>供应商资格要求.docx 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承诺书.docx 供应商应提交的相关资格证明材料 近年完成的类似项目情况表.docx 响应文件封面 供应商资格要求.docx 残疾人福利性单位声明函 报价函 标的清单 项目管理机构组成表.pdf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报价函 标的清单 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磋商报价不得高于本项目最高限价</w:t>
            </w:r>
          </w:p>
        </w:tc>
        <w:tc>
          <w:tcPr>
            <w:tcW w:type="dxa" w:w="1661"/>
          </w:tcPr>
          <w:p>
            <w:pPr>
              <w:pStyle w:val="null3"/>
            </w:pPr>
            <w:r>
              <w:rPr>
                <w:rFonts w:ascii="仿宋_GB2312" w:hAnsi="仿宋_GB2312" w:cs="仿宋_GB2312" w:eastAsia="仿宋_GB2312"/>
              </w:rPr>
              <w:t>已标价工程量清单 已标价工程量清单.docx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承诺书.docx 供应商应提交的相关资格证明材料 近年完成的类似项目情况表.docx 响应文件封面 供应商资格要求.docx 残疾人福利性单位声明函 报价函 标的清单 项目管理机构组成表.pdf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响应文件含有采购人不能接受的附加条件，按无效响应处理</w:t>
            </w:r>
          </w:p>
        </w:tc>
        <w:tc>
          <w:tcPr>
            <w:tcW w:type="dxa" w:w="3322"/>
          </w:tcPr>
          <w:p>
            <w:pPr>
              <w:pStyle w:val="null3"/>
            </w:pPr>
            <w:r>
              <w:rPr>
                <w:rFonts w:ascii="仿宋_GB2312" w:hAnsi="仿宋_GB2312" w:cs="仿宋_GB2312" w:eastAsia="仿宋_GB2312"/>
              </w:rPr>
              <w:t>响应文件含有采购人不能接受的附加条件，按无效响应处理</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承诺书.docx 供应商应提交的相关资格证明材料 近年完成的类似项目情况表.docx 响应文件封面 供应商资格要求.docx 残疾人福利性单位声明函 报价函 标的清单 项目管理机构组成表.pdf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 xml:space="preserve"> 无其他磋商文件或法律法规明确规定响应无效的事项</w:t>
            </w:r>
          </w:p>
        </w:tc>
        <w:tc>
          <w:tcPr>
            <w:tcW w:type="dxa" w:w="3322"/>
          </w:tcPr>
          <w:p>
            <w:pPr>
              <w:pStyle w:val="null3"/>
            </w:pPr>
            <w:r>
              <w:rPr>
                <w:rFonts w:ascii="仿宋_GB2312" w:hAnsi="仿宋_GB2312" w:cs="仿宋_GB2312" w:eastAsia="仿宋_GB2312"/>
              </w:rPr>
              <w:t>无其他磋商文件或法律法规明确规定响应无效的事项</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承诺书.docx 供应商应提交的相关资格证明材料 近年完成的类似项目情况表.docx 响应文件封面 供应商资格要求.docx 残疾人福利性单位声明函 报价函 标的清单 项目管理机构组成表.pdf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技术部分</w:t>
            </w:r>
          </w:p>
        </w:tc>
        <w:tc>
          <w:tcPr>
            <w:tcW w:type="dxa" w:w="2492"/>
          </w:tcPr>
          <w:p>
            <w:pPr>
              <w:pStyle w:val="null3"/>
            </w:pPr>
            <w:r>
              <w:rPr>
                <w:rFonts w:ascii="仿宋_GB2312" w:hAnsi="仿宋_GB2312" w:cs="仿宋_GB2312" w:eastAsia="仿宋_GB2312"/>
              </w:rPr>
              <w:t>提供针对本项目的施工组织设计，至少应包括：①确保工程质量的技术组织措施；②确保安全生产的技术组织措施；③确保文明施工及环境保护的技术组织措施；④确保工期的技术组织措施及施工进度表(横道图或网络图)；⑤施工方案；⑥施工机械配备和材料投入计划及劳动力安排计划；⑦新技术、新产品、新工艺、新材料应用。包含但不限于上述全部内容，方案详细，清晰有利于项目实施的每项得8分。（如有缺陷或不足在此分数基础上进行扣分），以上7项中： （1）每有1项缺失或不切实符合项目需求的扣8分； （2）每有1项内容存在缺陷或不足扣5分； （3）每有1项总体内容完备但存在部分瑕疵扣2分。</w:t>
            </w:r>
          </w:p>
        </w:tc>
        <w:tc>
          <w:tcPr>
            <w:tcW w:type="dxa" w:w="831"/>
          </w:tcPr>
          <w:p>
            <w:pPr>
              <w:pStyle w:val="null3"/>
              <w:jc w:val="right"/>
            </w:pPr>
            <w:r>
              <w:rPr>
                <w:rFonts w:ascii="仿宋_GB2312" w:hAnsi="仿宋_GB2312" w:cs="仿宋_GB2312" w:eastAsia="仿宋_GB2312"/>
              </w:rPr>
              <w:t>56.0000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近年完成的类似项目情况表.docx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1、具有五大员（质量员、安全员、施工员、材料员、资料员）上岗证书（安全员须具有安全生产考核合格证书）的一项得1分，最高得5分；2、有相应职称证（中级及以上均可）的每证加1分。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近年完成的类似项目情况表.docx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2022年09月至今完成的类似业绩，一项得2分，最多得6分。 注：1.须附类似项目业绩的成交（中标）通知书或合同或竣工验收证明材料复印件或扫描件，并加盖公章）； 2.以提供证明资料的落款时间为准。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近年完成的类似项目情况表.docx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将满足磋商文件要求且最后报价最低的供应商的价格作为磋商基准价，其价格分为满分（30分）； 其他供应商磋商报价得分=(磋商基准价／最后磋商报价)×30%×100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详见附件：技术响应.docx</w:t>
      </w:r>
    </w:p>
    <w:p>
      <w:pPr>
        <w:pStyle w:val="null3"/>
        <w:ind w:firstLine="960"/>
      </w:pPr>
      <w:r>
        <w:rPr>
          <w:rFonts w:ascii="仿宋_GB2312" w:hAnsi="仿宋_GB2312" w:cs="仿宋_GB2312" w:eastAsia="仿宋_GB2312"/>
        </w:rPr>
        <w:t>详见附件：近年完成的类似项目情况表.docx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详见附件：项目管理机构组成表.pdf</w:t>
      </w:r>
    </w:p>
    <w:p>
      <w:pPr>
        <w:pStyle w:val="null3"/>
        <w:ind w:firstLine="960"/>
      </w:pPr>
      <w:r>
        <w:rPr>
          <w:rFonts w:ascii="仿宋_GB2312" w:hAnsi="仿宋_GB2312" w:cs="仿宋_GB2312" w:eastAsia="仿宋_GB2312"/>
        </w:rPr>
        <w:t>详见附件：项目组织机构.docx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