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版本号：SXYD25-ZFCG-090120250926001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2025年富平县淡村镇解放村破损道路修复项目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SXYD25-ZFCG-0901</w:t>
      </w:r>
      <w:r>
        <w:br/>
      </w:r>
      <w:r>
        <w:br/>
      </w:r>
      <w:r>
        <w:br/>
      </w:r>
    </w:p>
    <w:p>
      <w:pPr>
        <w:pStyle w:val="null3"/>
        <w:jc w:val="center"/>
        <w:outlineLvl w:val="2"/>
      </w:pPr>
      <w:r>
        <w:rPr>
          <w:rFonts w:ascii="仿宋_GB2312" w:hAnsi="仿宋_GB2312" w:cs="仿宋_GB2312" w:eastAsia="仿宋_GB2312"/>
          <w:sz w:val="28"/>
          <w:b/>
        </w:rPr>
        <w:t>富平县淡村镇人民政府（本级）</w:t>
      </w:r>
    </w:p>
    <w:p>
      <w:pPr>
        <w:pStyle w:val="null3"/>
        <w:jc w:val="center"/>
        <w:outlineLvl w:val="2"/>
      </w:pPr>
      <w:r>
        <w:rPr>
          <w:rFonts w:ascii="仿宋_GB2312" w:hAnsi="仿宋_GB2312" w:cs="仿宋_GB2312" w:eastAsia="仿宋_GB2312"/>
          <w:sz w:val="28"/>
          <w:b/>
        </w:rPr>
        <w:t>陕西远大发展项目管理有限公司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陕西远大发展项目管理有限公司</w:t>
      </w:r>
      <w:r>
        <w:rPr>
          <w:rFonts w:ascii="仿宋_GB2312" w:hAnsi="仿宋_GB2312" w:cs="仿宋_GB2312" w:eastAsia="仿宋_GB2312"/>
        </w:rPr>
        <w:t>（以下简称“代理机构”）受</w:t>
      </w:r>
      <w:r>
        <w:rPr>
          <w:rFonts w:ascii="仿宋_GB2312" w:hAnsi="仿宋_GB2312" w:cs="仿宋_GB2312" w:eastAsia="仿宋_GB2312"/>
        </w:rPr>
        <w:t>富平县淡村镇人民政府（本级）</w:t>
      </w:r>
      <w:r>
        <w:rPr>
          <w:rFonts w:ascii="仿宋_GB2312" w:hAnsi="仿宋_GB2312" w:cs="仿宋_GB2312" w:eastAsia="仿宋_GB2312"/>
        </w:rPr>
        <w:t>委托，拟对</w:t>
      </w:r>
      <w:r>
        <w:rPr>
          <w:rFonts w:ascii="仿宋_GB2312" w:hAnsi="仿宋_GB2312" w:cs="仿宋_GB2312" w:eastAsia="仿宋_GB2312"/>
        </w:rPr>
        <w:t>2025年富平县淡村镇解放村破损道路修复项目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SXYD25-ZFCG-0901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2025年富平县淡村镇解放村破损道路修复项目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西周组破除重建混凝土道路3458m²(768.5m×4.5m)，厚度18cm;新修暗排810m，检查井4个。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采购包1（2025年富平县淡村镇解放村破损道路修复项目）：属于专门面向中小企业采购。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法定代表人参加投标只须提供法定代表人身份证明（附法定代表人身份证复印件）：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3、具备市政公用工程施工总承包三级及以上资质：具备市政公用工程施工总承包三级及以上资质</w:t>
      </w:r>
    </w:p>
    <w:p>
      <w:pPr>
        <w:pStyle w:val="null3"/>
      </w:pPr>
      <w:r>
        <w:rPr>
          <w:rFonts w:ascii="仿宋_GB2312" w:hAnsi="仿宋_GB2312" w:cs="仿宋_GB2312" w:eastAsia="仿宋_GB2312"/>
        </w:rPr>
        <w:t>4、具有建设行政主管部门核发有效的安全生产许可证：具有建设行政主管部门核发有效的安全生产许可证</w:t>
      </w:r>
    </w:p>
    <w:p>
      <w:pPr>
        <w:pStyle w:val="null3"/>
      </w:pPr>
      <w:r>
        <w:rPr>
          <w:rFonts w:ascii="仿宋_GB2312" w:hAnsi="仿宋_GB2312" w:cs="仿宋_GB2312" w:eastAsia="仿宋_GB2312"/>
        </w:rPr>
        <w:t>5、拟派项目经理具备市政公用工程注册建造师二级及以上资格和有效的安全生产考核合格证书，提供项目经理无在建工程的相关证明材料或承诺书：拟派项目经理具备市政公用工程注册建造师二级及以上资格和有效的安全生产考核合格证书，提供项目经理无在建工程的相关证明材料或承诺书</w:t>
      </w:r>
    </w:p>
    <w:p>
      <w:pPr>
        <w:pStyle w:val="null3"/>
      </w:pPr>
      <w:r>
        <w:rPr>
          <w:rFonts w:ascii="仿宋_GB2312" w:hAnsi="仿宋_GB2312" w:cs="仿宋_GB2312" w:eastAsia="仿宋_GB2312"/>
        </w:rPr>
        <w:t>6、提供2024年经审计的财务报告（成立时间至提交磋商响应文件截止时间不足一年的可提供成立后任意时段的财务报表）：提供2024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富平县淡村镇人民政府（本级）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陕西省渭南市富平县淡村镇街道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陈星星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15091435939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陕西远大发展项目管理有限公司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陕西省西咸新区沣西新城西部云谷B1楼二层201室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15399130672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开户名称：陕西远大发展项目管理有限公司富平县分公司</w:t>
            </w:r>
          </w:p>
          <w:p>
            <w:pPr>
              <w:pStyle w:val="null3"/>
            </w:pPr>
            <w:r>
              <w:rPr>
                <w:rFonts w:ascii="仿宋_GB2312" w:hAnsi="仿宋_GB2312" w:cs="仿宋_GB2312" w:eastAsia="仿宋_GB2312"/>
              </w:rPr>
              <w:t>开户银行：中国农业银行股份有限公司富平县东街支行</w:t>
            </w:r>
          </w:p>
          <w:p>
            <w:pPr>
              <w:pStyle w:val="null3"/>
            </w:pPr>
            <w:r>
              <w:rPr>
                <w:rFonts w:ascii="仿宋_GB2312" w:hAnsi="仿宋_GB2312" w:cs="仿宋_GB2312" w:eastAsia="仿宋_GB2312"/>
              </w:rPr>
              <w:t>银行账号：26556001040002277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按（发改价格〔2002〕1980号文件）计算收取、编制标底费按（陕价行发〔2014〕88号文件）计算收取；按《国家发展和改革委员会办公厅关于招标代理服务收费有关问题的通知》（发改办价格〔2003〕857号文件）执行；招标代理费、编制标底费不计入工程造价，向成交供应商收取。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富平县淡村镇人民政府（本级）</w:t>
      </w:r>
      <w:r>
        <w:rPr>
          <w:rFonts w:ascii="仿宋_GB2312" w:hAnsi="仿宋_GB2312" w:cs="仿宋_GB2312" w:eastAsia="仿宋_GB2312"/>
        </w:rPr>
        <w:t>和</w:t>
      </w:r>
      <w:r>
        <w:rPr>
          <w:rFonts w:ascii="仿宋_GB2312" w:hAnsi="仿宋_GB2312" w:cs="仿宋_GB2312" w:eastAsia="仿宋_GB2312"/>
        </w:rPr>
        <w:t>陕西远大发展项目管理有限公司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富平县淡村镇人民政府（本级）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陕西远大发展项目管理有限公司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富平县淡村镇人民政府（本级）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陕西远大发展项目管理有限公司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联系电话：15399130672</w:t>
      </w:r>
    </w:p>
    <w:p>
      <w:pPr>
        <w:pStyle w:val="null3"/>
      </w:pPr>
      <w:r>
        <w:rPr>
          <w:rFonts w:ascii="仿宋_GB2312" w:hAnsi="仿宋_GB2312" w:cs="仿宋_GB2312" w:eastAsia="仿宋_GB2312"/>
        </w:rPr>
        <w:t>地址：陕西省西咸新区沣西新城西部云谷B1楼二层201室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782,000.00</w:t>
      </w:r>
    </w:p>
    <w:p>
      <w:pPr>
        <w:pStyle w:val="null3"/>
      </w:pPr>
      <w:r>
        <w:rPr>
          <w:rFonts w:ascii="仿宋_GB2312" w:hAnsi="仿宋_GB2312" w:cs="仿宋_GB2312" w:eastAsia="仿宋_GB2312"/>
        </w:rPr>
        <w:t>采购包最高限价（元）: 763,289.60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2025年富平县淡村镇解放村破损道路修复项目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782,000.00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标的名称：2025年富平县淡村镇解放村破损道路修复项目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sz w:val="21"/>
              </w:rPr>
              <w:t>编制说明</w:t>
            </w:r>
          </w:p>
          <w:p>
            <w:pPr>
              <w:pStyle w:val="null3"/>
              <w:jc w:val="center"/>
            </w:pPr>
            <w:r>
              <w:rPr>
                <w:rFonts w:ascii="仿宋_GB2312" w:hAnsi="仿宋_GB2312" w:cs="仿宋_GB2312" w:eastAsia="仿宋_GB2312"/>
                <w:sz w:val="21"/>
                <w:b/>
              </w:rPr>
              <w:t>一、工程概况</w:t>
            </w:r>
          </w:p>
          <w:p>
            <w:pPr>
              <w:pStyle w:val="null3"/>
              <w:ind w:firstLine="560"/>
              <w:jc w:val="left"/>
            </w:pPr>
            <w:r>
              <w:rPr>
                <w:rFonts w:ascii="仿宋_GB2312" w:hAnsi="仿宋_GB2312" w:cs="仿宋_GB2312" w:eastAsia="仿宋_GB2312"/>
                <w:sz w:val="21"/>
              </w:rPr>
              <w:t>1、</w:t>
            </w:r>
            <w:r>
              <w:rPr>
                <w:rFonts w:ascii="仿宋_GB2312" w:hAnsi="仿宋_GB2312" w:cs="仿宋_GB2312" w:eastAsia="仿宋_GB2312"/>
                <w:sz w:val="21"/>
              </w:rPr>
              <w:t>项目名称：</w:t>
            </w:r>
            <w:r>
              <w:rPr>
                <w:rFonts w:ascii="仿宋_GB2312" w:hAnsi="仿宋_GB2312" w:cs="仿宋_GB2312" w:eastAsia="仿宋_GB2312"/>
                <w:sz w:val="21"/>
              </w:rPr>
              <w:t>2025年富平县淡村镇解放村破损道路修复项目</w:t>
            </w:r>
          </w:p>
          <w:p>
            <w:pPr>
              <w:pStyle w:val="null3"/>
              <w:ind w:left="555"/>
              <w:jc w:val="left"/>
            </w:pPr>
            <w:r>
              <w:rPr>
                <w:rFonts w:ascii="仿宋_GB2312" w:hAnsi="仿宋_GB2312" w:cs="仿宋_GB2312" w:eastAsia="仿宋_GB2312"/>
                <w:sz w:val="21"/>
              </w:rPr>
              <w:t>2、</w:t>
            </w:r>
            <w:r>
              <w:rPr>
                <w:rFonts w:ascii="仿宋_GB2312" w:hAnsi="仿宋_GB2312" w:cs="仿宋_GB2312" w:eastAsia="仿宋_GB2312"/>
                <w:sz w:val="21"/>
              </w:rPr>
              <w:t>工程概况：</w:t>
            </w:r>
            <w:r>
              <w:rPr>
                <w:rFonts w:ascii="仿宋_GB2312" w:hAnsi="仿宋_GB2312" w:cs="仿宋_GB2312" w:eastAsia="仿宋_GB2312"/>
                <w:sz w:val="21"/>
                <w:color w:val="000000"/>
              </w:rPr>
              <w:t>主要建设内容为西周组破除重建混凝土道路</w:t>
            </w:r>
            <w:r>
              <w:rPr>
                <w:rFonts w:ascii="仿宋_GB2312" w:hAnsi="仿宋_GB2312" w:cs="仿宋_GB2312" w:eastAsia="仿宋_GB2312"/>
                <w:sz w:val="21"/>
                <w:color w:val="000000"/>
              </w:rPr>
              <w:t>3458㎡（768.5m*4.5m)，厚度18cm；新修暗排DN300双壁波纹管810m，检查井700*700mm 4个。</w:t>
            </w:r>
          </w:p>
          <w:p>
            <w:pPr>
              <w:pStyle w:val="null3"/>
              <w:ind w:firstLine="560"/>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建设地点</w:t>
            </w:r>
            <w:r>
              <w:rPr>
                <w:rFonts w:ascii="仿宋_GB2312" w:hAnsi="仿宋_GB2312" w:cs="仿宋_GB2312" w:eastAsia="仿宋_GB2312"/>
                <w:sz w:val="21"/>
              </w:rPr>
              <w:t>：</w:t>
            </w:r>
            <w:r>
              <w:rPr>
                <w:rFonts w:ascii="仿宋_GB2312" w:hAnsi="仿宋_GB2312" w:cs="仿宋_GB2312" w:eastAsia="仿宋_GB2312"/>
                <w:sz w:val="21"/>
              </w:rPr>
              <w:t>项目位于</w:t>
            </w:r>
            <w:r>
              <w:rPr>
                <w:rFonts w:ascii="仿宋_GB2312" w:hAnsi="仿宋_GB2312" w:cs="仿宋_GB2312" w:eastAsia="仿宋_GB2312"/>
                <w:sz w:val="21"/>
              </w:rPr>
              <w:t>富平县淡村镇解放村</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二、编制依据</w:t>
            </w:r>
          </w:p>
          <w:p>
            <w:pPr>
              <w:pStyle w:val="null3"/>
              <w:ind w:firstLine="56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陕西省建设工程工程量清单计价</w:t>
            </w:r>
            <w:r>
              <w:rPr>
                <w:rFonts w:ascii="仿宋_GB2312" w:hAnsi="仿宋_GB2312" w:cs="仿宋_GB2312" w:eastAsia="仿宋_GB2312"/>
                <w:sz w:val="21"/>
                <w:color w:val="000000"/>
              </w:rPr>
              <w:t>标准及计算标准</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p>
          <w:p>
            <w:pPr>
              <w:pStyle w:val="null3"/>
              <w:ind w:firstLine="560"/>
              <w:jc w:val="both"/>
            </w:pPr>
            <w:r>
              <w:rPr>
                <w:rFonts w:ascii="仿宋_GB2312" w:hAnsi="仿宋_GB2312" w:cs="仿宋_GB2312" w:eastAsia="仿宋_GB2312"/>
                <w:sz w:val="21"/>
                <w:color w:val="000000"/>
              </w:rPr>
              <w:t>2、《陕西省</w:t>
            </w:r>
            <w:r>
              <w:rPr>
                <w:rFonts w:ascii="仿宋_GB2312" w:hAnsi="仿宋_GB2312" w:cs="仿宋_GB2312" w:eastAsia="仿宋_GB2312"/>
                <w:sz w:val="21"/>
                <w:color w:val="000000"/>
              </w:rPr>
              <w:t>房屋</w:t>
            </w:r>
            <w:r>
              <w:rPr>
                <w:rFonts w:ascii="仿宋_GB2312" w:hAnsi="仿宋_GB2312" w:cs="仿宋_GB2312" w:eastAsia="仿宋_GB2312"/>
                <w:sz w:val="21"/>
                <w:color w:val="000000"/>
              </w:rPr>
              <w:t>建筑工程</w:t>
            </w:r>
            <w:r>
              <w:rPr>
                <w:rFonts w:ascii="仿宋_GB2312" w:hAnsi="仿宋_GB2312" w:cs="仿宋_GB2312" w:eastAsia="仿宋_GB2312"/>
                <w:sz w:val="21"/>
                <w:color w:val="000000"/>
              </w:rPr>
              <w:t>及</w:t>
            </w:r>
            <w:r>
              <w:rPr>
                <w:rFonts w:ascii="仿宋_GB2312" w:hAnsi="仿宋_GB2312" w:cs="仿宋_GB2312" w:eastAsia="仿宋_GB2312"/>
                <w:sz w:val="21"/>
                <w:color w:val="000000"/>
              </w:rPr>
              <w:t>装饰工程、</w:t>
            </w:r>
            <w:r>
              <w:rPr>
                <w:rFonts w:ascii="仿宋_GB2312" w:hAnsi="仿宋_GB2312" w:cs="仿宋_GB2312" w:eastAsia="仿宋_GB2312"/>
                <w:sz w:val="21"/>
                <w:color w:val="000000"/>
              </w:rPr>
              <w:t>通用安装工程、</w:t>
            </w:r>
            <w:r>
              <w:rPr>
                <w:rFonts w:ascii="仿宋_GB2312" w:hAnsi="仿宋_GB2312" w:cs="仿宋_GB2312" w:eastAsia="仿宋_GB2312"/>
                <w:sz w:val="21"/>
                <w:color w:val="000000"/>
              </w:rPr>
              <w:t>市政工程、园林绿化工程消耗量定额》</w:t>
            </w:r>
            <w:r>
              <w:rPr>
                <w:rFonts w:ascii="仿宋_GB2312" w:hAnsi="仿宋_GB2312" w:cs="仿宋_GB2312" w:eastAsia="仿宋_GB2312"/>
                <w:sz w:val="21"/>
                <w:color w:val="000000"/>
              </w:rPr>
              <w:t>（</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w:t>
            </w:r>
            <w:r>
              <w:rPr>
                <w:rFonts w:ascii="仿宋_GB2312" w:hAnsi="仿宋_GB2312" w:cs="仿宋_GB2312" w:eastAsia="仿宋_GB2312"/>
                <w:sz w:val="21"/>
                <w:color w:val="000000"/>
              </w:rPr>
              <w:t>（陕西省价目表</w:t>
            </w:r>
            <w:r>
              <w:rPr>
                <w:rFonts w:ascii="仿宋_GB2312" w:hAnsi="仿宋_GB2312" w:cs="仿宋_GB2312" w:eastAsia="仿宋_GB2312"/>
                <w:sz w:val="21"/>
                <w:color w:val="000000"/>
              </w:rPr>
              <w:t>20</w:t>
            </w:r>
            <w:r>
              <w:rPr>
                <w:rFonts w:ascii="仿宋_GB2312" w:hAnsi="仿宋_GB2312" w:cs="仿宋_GB2312" w:eastAsia="仿宋_GB2312"/>
                <w:sz w:val="21"/>
                <w:color w:val="000000"/>
              </w:rPr>
              <w:t>25</w:t>
            </w:r>
            <w:r>
              <w:rPr>
                <w:rFonts w:ascii="仿宋_GB2312" w:hAnsi="仿宋_GB2312" w:cs="仿宋_GB2312" w:eastAsia="仿宋_GB2312"/>
                <w:sz w:val="21"/>
                <w:color w:val="000000"/>
              </w:rPr>
              <w:t>）、《陕西省建设工程工程量清单计价费率》及其配套计价文件；</w:t>
            </w:r>
          </w:p>
          <w:p>
            <w:pPr>
              <w:pStyle w:val="null3"/>
              <w:ind w:firstLine="560"/>
              <w:jc w:val="both"/>
            </w:pPr>
            <w:r>
              <w:rPr>
                <w:rFonts w:ascii="仿宋_GB2312" w:hAnsi="仿宋_GB2312" w:cs="仿宋_GB2312" w:eastAsia="仿宋_GB2312"/>
                <w:sz w:val="21"/>
                <w:color w:val="000000"/>
              </w:rPr>
              <w:t>3、施工设计图、招标文件、工程量清单及答疑纪要；</w:t>
            </w:r>
          </w:p>
          <w:p>
            <w:pPr>
              <w:pStyle w:val="null3"/>
              <w:ind w:firstLine="560"/>
              <w:jc w:val="both"/>
            </w:pPr>
            <w:r>
              <w:rPr>
                <w:rFonts w:ascii="仿宋_GB2312" w:hAnsi="仿宋_GB2312" w:cs="仿宋_GB2312" w:eastAsia="仿宋_GB2312"/>
                <w:sz w:val="21"/>
                <w:color w:val="000000"/>
              </w:rPr>
              <w:t>4、与建设工程项目有关的标准、规范、技术资料；</w:t>
            </w:r>
          </w:p>
          <w:p>
            <w:pPr>
              <w:pStyle w:val="null3"/>
              <w:ind w:firstLine="560"/>
              <w:jc w:val="both"/>
            </w:pPr>
            <w:r>
              <w:rPr>
                <w:rFonts w:ascii="仿宋_GB2312" w:hAnsi="仿宋_GB2312" w:cs="仿宋_GB2312" w:eastAsia="仿宋_GB2312"/>
                <w:sz w:val="21"/>
                <w:color w:val="000000"/>
              </w:rPr>
              <w:t>5、现场情况及常规的施工组织及方案；</w:t>
            </w:r>
          </w:p>
          <w:p>
            <w:pPr>
              <w:pStyle w:val="null3"/>
              <w:ind w:firstLine="560"/>
              <w:jc w:val="left"/>
            </w:pPr>
            <w:r>
              <w:rPr>
                <w:rFonts w:ascii="仿宋_GB2312" w:hAnsi="仿宋_GB2312" w:cs="仿宋_GB2312" w:eastAsia="仿宋_GB2312"/>
                <w:sz w:val="21"/>
                <w:color w:val="000000"/>
              </w:rPr>
              <w:t>6、本工程</w:t>
            </w:r>
            <w:r>
              <w:rPr>
                <w:rFonts w:ascii="仿宋_GB2312" w:hAnsi="仿宋_GB2312" w:cs="仿宋_GB2312" w:eastAsia="仿宋_GB2312"/>
                <w:sz w:val="21"/>
                <w:color w:val="000000"/>
              </w:rPr>
              <w:t>计价程序</w:t>
            </w:r>
            <w:r>
              <w:rPr>
                <w:rFonts w:ascii="仿宋_GB2312" w:hAnsi="仿宋_GB2312" w:cs="仿宋_GB2312" w:eastAsia="仿宋_GB2312"/>
                <w:sz w:val="21"/>
                <w:color w:val="000000"/>
              </w:rPr>
              <w:t>执行</w:t>
            </w:r>
            <w:r>
              <w:rPr>
                <w:rFonts w:ascii="仿宋_GB2312" w:hAnsi="仿宋_GB2312" w:cs="仿宋_GB2312" w:eastAsia="仿宋_GB2312"/>
                <w:sz w:val="21"/>
                <w:color w:val="000000"/>
              </w:rPr>
              <w:t>《</w:t>
            </w:r>
            <w:r>
              <w:rPr>
                <w:rFonts w:ascii="仿宋_GB2312" w:hAnsi="仿宋_GB2312" w:cs="仿宋_GB2312" w:eastAsia="仿宋_GB2312"/>
                <w:sz w:val="21"/>
                <w:color w:val="000000"/>
              </w:rPr>
              <w:t>陕西省建设工程工程量清单计价</w:t>
            </w:r>
            <w:r>
              <w:rPr>
                <w:rFonts w:ascii="仿宋_GB2312" w:hAnsi="仿宋_GB2312" w:cs="仿宋_GB2312" w:eastAsia="仿宋_GB2312"/>
                <w:sz w:val="21"/>
                <w:color w:val="000000"/>
              </w:rPr>
              <w:t>标准及计算标准</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市政</w:t>
            </w:r>
            <w:r>
              <w:rPr>
                <w:rFonts w:ascii="仿宋_GB2312" w:hAnsi="仿宋_GB2312" w:cs="仿宋_GB2312" w:eastAsia="仿宋_GB2312"/>
                <w:sz w:val="21"/>
                <w:color w:val="000000"/>
              </w:rPr>
              <w:t>综合一类工</w:t>
            </w:r>
            <w:r>
              <w:rPr>
                <w:rFonts w:ascii="仿宋_GB2312" w:hAnsi="仿宋_GB2312" w:cs="仿宋_GB2312" w:eastAsia="仿宋_GB2312"/>
                <w:sz w:val="21"/>
                <w:color w:val="000000"/>
              </w:rPr>
              <w:t>按</w:t>
            </w:r>
            <w:r>
              <w:rPr>
                <w:rFonts w:ascii="仿宋_GB2312" w:hAnsi="仿宋_GB2312" w:cs="仿宋_GB2312" w:eastAsia="仿宋_GB2312"/>
                <w:sz w:val="21"/>
                <w:color w:val="000000"/>
              </w:rPr>
              <w:t>155元/工日，</w:t>
            </w:r>
            <w:r>
              <w:rPr>
                <w:rFonts w:ascii="仿宋_GB2312" w:hAnsi="仿宋_GB2312" w:cs="仿宋_GB2312" w:eastAsia="仿宋_GB2312"/>
                <w:sz w:val="21"/>
                <w:color w:val="000000"/>
              </w:rPr>
              <w:t>综合</w:t>
            </w:r>
            <w:r>
              <w:rPr>
                <w:rFonts w:ascii="仿宋_GB2312" w:hAnsi="仿宋_GB2312" w:cs="仿宋_GB2312" w:eastAsia="仿宋_GB2312"/>
                <w:sz w:val="21"/>
                <w:color w:val="000000"/>
              </w:rPr>
              <w:t>二</w:t>
            </w:r>
            <w:r>
              <w:rPr>
                <w:rFonts w:ascii="仿宋_GB2312" w:hAnsi="仿宋_GB2312" w:cs="仿宋_GB2312" w:eastAsia="仿宋_GB2312"/>
                <w:sz w:val="21"/>
                <w:color w:val="000000"/>
              </w:rPr>
              <w:t>类工</w:t>
            </w:r>
            <w:r>
              <w:rPr>
                <w:rFonts w:ascii="仿宋_GB2312" w:hAnsi="仿宋_GB2312" w:cs="仿宋_GB2312" w:eastAsia="仿宋_GB2312"/>
                <w:sz w:val="21"/>
                <w:color w:val="000000"/>
              </w:rPr>
              <w:t>按</w:t>
            </w:r>
            <w:r>
              <w:rPr>
                <w:rFonts w:ascii="仿宋_GB2312" w:hAnsi="仿宋_GB2312" w:cs="仿宋_GB2312" w:eastAsia="仿宋_GB2312"/>
                <w:sz w:val="21"/>
                <w:color w:val="000000"/>
              </w:rPr>
              <w:t>185元/工日；</w:t>
            </w:r>
          </w:p>
          <w:p>
            <w:pPr>
              <w:pStyle w:val="null3"/>
              <w:ind w:firstLine="560"/>
              <w:jc w:val="both"/>
            </w:pPr>
            <w:r>
              <w:rPr>
                <w:rFonts w:ascii="仿宋_GB2312" w:hAnsi="仿宋_GB2312" w:cs="仿宋_GB2312" w:eastAsia="仿宋_GB2312"/>
                <w:sz w:val="21"/>
                <w:color w:val="000000"/>
              </w:rPr>
              <w:t>7、主要材料价格依据</w:t>
            </w:r>
            <w:r>
              <w:rPr>
                <w:rFonts w:ascii="仿宋_GB2312" w:hAnsi="仿宋_GB2312" w:cs="仿宋_GB2312" w:eastAsia="仿宋_GB2312"/>
                <w:sz w:val="21"/>
                <w:color w:val="000000"/>
              </w:rPr>
              <w:t>《</w:t>
            </w:r>
            <w:r>
              <w:rPr>
                <w:rFonts w:ascii="仿宋_GB2312" w:hAnsi="仿宋_GB2312" w:cs="仿宋_GB2312" w:eastAsia="仿宋_GB2312"/>
                <w:sz w:val="21"/>
                <w:color w:val="000000"/>
              </w:rPr>
              <w:t>渭南信息价</w:t>
            </w:r>
            <w:r>
              <w:rPr>
                <w:rFonts w:ascii="仿宋_GB2312" w:hAnsi="仿宋_GB2312" w:cs="仿宋_GB2312" w:eastAsia="仿宋_GB2312"/>
                <w:sz w:val="21"/>
                <w:color w:val="000000"/>
              </w:rPr>
              <w:t>》</w:t>
            </w:r>
            <w:r>
              <w:rPr>
                <w:rFonts w:ascii="仿宋_GB2312" w:hAnsi="仿宋_GB2312" w:cs="仿宋_GB2312" w:eastAsia="仿宋_GB2312"/>
                <w:sz w:val="21"/>
                <w:color w:val="000000"/>
              </w:rPr>
              <w:t>2025年第三期，富平信息价没有的</w:t>
            </w:r>
            <w:r>
              <w:rPr>
                <w:rFonts w:ascii="仿宋_GB2312" w:hAnsi="仿宋_GB2312" w:cs="仿宋_GB2312" w:eastAsia="仿宋_GB2312"/>
                <w:sz w:val="21"/>
                <w:color w:val="000000"/>
              </w:rPr>
              <w:t>材料</w:t>
            </w:r>
            <w:r>
              <w:rPr>
                <w:rFonts w:ascii="仿宋_GB2312" w:hAnsi="仿宋_GB2312" w:cs="仿宋_GB2312" w:eastAsia="仿宋_GB2312"/>
                <w:sz w:val="21"/>
                <w:color w:val="000000"/>
              </w:rPr>
              <w:t>按</w:t>
            </w:r>
            <w:r>
              <w:rPr>
                <w:rFonts w:ascii="仿宋_GB2312" w:hAnsi="仿宋_GB2312" w:cs="仿宋_GB2312" w:eastAsia="仿宋_GB2312"/>
                <w:sz w:val="21"/>
                <w:color w:val="000000"/>
              </w:rPr>
              <w:t>市场价</w:t>
            </w:r>
            <w:r>
              <w:rPr>
                <w:rFonts w:ascii="仿宋_GB2312" w:hAnsi="仿宋_GB2312" w:cs="仿宋_GB2312" w:eastAsia="仿宋_GB2312"/>
                <w:sz w:val="21"/>
                <w:color w:val="000000"/>
              </w:rPr>
              <w:t>计入；</w:t>
            </w:r>
          </w:p>
          <w:p>
            <w:pPr>
              <w:pStyle w:val="null3"/>
              <w:ind w:firstLine="560"/>
              <w:jc w:val="both"/>
            </w:pPr>
            <w:r>
              <w:rPr>
                <w:rFonts w:ascii="仿宋_GB2312" w:hAnsi="仿宋_GB2312" w:cs="仿宋_GB2312" w:eastAsia="仿宋_GB2312"/>
                <w:sz w:val="21"/>
                <w:color w:val="000000"/>
              </w:rPr>
              <w:t>8、工程量清单计价软件使用“</w:t>
            </w:r>
            <w:r>
              <w:rPr>
                <w:rFonts w:ascii="仿宋_GB2312" w:hAnsi="仿宋_GB2312" w:cs="仿宋_GB2312" w:eastAsia="仿宋_GB2312"/>
                <w:sz w:val="21"/>
                <w:color w:val="000000"/>
              </w:rPr>
              <w:t>广联达云计价平台</w:t>
            </w:r>
            <w:r>
              <w:rPr>
                <w:rFonts w:ascii="仿宋_GB2312" w:hAnsi="仿宋_GB2312" w:cs="仿宋_GB2312" w:eastAsia="仿宋_GB2312"/>
                <w:sz w:val="21"/>
                <w:color w:val="000000"/>
              </w:rPr>
              <w:t>GCCP7.0-7.5000.23.1</w:t>
            </w:r>
            <w:r>
              <w:rPr>
                <w:rFonts w:ascii="仿宋_GB2312" w:hAnsi="仿宋_GB2312" w:cs="仿宋_GB2312" w:eastAsia="仿宋_GB2312"/>
                <w:sz w:val="21"/>
                <w:color w:val="000000"/>
              </w:rPr>
              <w:t>”</w:t>
            </w:r>
            <w:r>
              <w:rPr>
                <w:rFonts w:ascii="仿宋_GB2312" w:hAnsi="仿宋_GB2312" w:cs="仿宋_GB2312" w:eastAsia="仿宋_GB2312"/>
                <w:sz w:val="21"/>
                <w:color w:val="000000"/>
              </w:rPr>
              <w:t>；定额库版本号</w:t>
            </w:r>
            <w:r>
              <w:rPr>
                <w:rFonts w:ascii="仿宋_GB2312" w:hAnsi="仿宋_GB2312" w:cs="仿宋_GB2312" w:eastAsia="仿宋_GB2312"/>
                <w:sz w:val="21"/>
                <w:color w:val="000000"/>
              </w:rPr>
              <w:t>:7.2.23.369。</w:t>
            </w:r>
          </w:p>
          <w:p>
            <w:pPr>
              <w:pStyle w:val="null3"/>
              <w:ind w:firstLine="560"/>
              <w:jc w:val="both"/>
            </w:pPr>
            <w:r>
              <w:drawing>
                <wp:inline distT="0" distR="0" distB="0" distL="0">
                  <wp:extent cx="1621155" cy="229454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2294549"/>
                          </a:xfrm>
                          <a:prstGeom prst="rect">
                            <a:avLst/>
                          </a:prstGeom>
                        </pic:spPr>
                      </pic:pic>
                    </a:graphicData>
                  </a:graphic>
                </wp:inline>
              </w:drawing>
            </w:r>
            <w:r>
              <w:drawing>
                <wp:inline distT="0" distR="0" distB="0" distL="0">
                  <wp:extent cx="1621155" cy="229454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2294549"/>
                          </a:xfrm>
                          <a:prstGeom prst="rect">
                            <a:avLst/>
                          </a:prstGeom>
                        </pic:spPr>
                      </pic:pic>
                    </a:graphicData>
                  </a:graphic>
                </wp:inline>
              </w:drawing>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 30 日历天(计划开、竣工日期以施工合同签订时间为准)； 2、付款方式：施工合同签订后七日内付至合同价款的30%作为预付款，施工完成验收合格后付至合同价款的80%，待工程决算审计报告双方签字盖章认可后，付至审计价款的97%，剩余3%缺陷责任期满后一次性付清。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1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供应商认为有必要说明的其他问题.docx 资格审查资料.docx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资格审查资料.docx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具备市政公用工程施工总承包三级及以上资质</w:t>
            </w:r>
          </w:p>
        </w:tc>
        <w:tc>
          <w:tcPr>
            <w:tcW w:type="dxa" w:w="3322"/>
          </w:tcPr>
          <w:p>
            <w:pPr>
              <w:pStyle w:val="null3"/>
            </w:pPr>
            <w:r>
              <w:rPr>
                <w:rFonts w:ascii="仿宋_GB2312" w:hAnsi="仿宋_GB2312" w:cs="仿宋_GB2312" w:eastAsia="仿宋_GB2312"/>
              </w:rPr>
              <w:t>具备市政公用工程施工总承包三级及以上资质</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具有建设行政主管部门核发有效的安全生产许可证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拟派项目经理具备市政公用工程注册建造师二级及以上资格和有效的安全生产考核合格证书，提供项目经理无在建工程的相关证明材料或承诺书</w:t>
            </w:r>
          </w:p>
        </w:tc>
        <w:tc>
          <w:tcPr>
            <w:tcW w:type="dxa" w:w="3322"/>
          </w:tcPr>
          <w:p>
            <w:pPr>
              <w:pStyle w:val="null3"/>
            </w:pPr>
            <w:r>
              <w:rPr>
                <w:rFonts w:ascii="仿宋_GB2312" w:hAnsi="仿宋_GB2312" w:cs="仿宋_GB2312" w:eastAsia="仿宋_GB2312"/>
              </w:rPr>
              <w:t>拟派项目经理具备市政公用工程注册建造师二级及以上资格和有效的安全生产考核合格证书，提供项目经理无在建工程的相关证明材料或承诺书</w:t>
            </w:r>
          </w:p>
        </w:tc>
        <w:tc>
          <w:tcPr>
            <w:tcW w:type="dxa" w:w="1661"/>
          </w:tcPr>
          <w:p>
            <w:pPr>
              <w:pStyle w:val="null3"/>
            </w:pPr>
            <w:r>
              <w:rPr>
                <w:rFonts w:ascii="仿宋_GB2312" w:hAnsi="仿宋_GB2312" w:cs="仿宋_GB2312" w:eastAsia="仿宋_GB2312"/>
              </w:rPr>
              <w:t>项目管理机构组成表 资格审查资料.docx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承诺书.docx 响应文件封面 项目管理机构组成表 残疾人福利性单位声明函 报价函 供应商认为有必要说明的其他问题.docx 标的清单 资格审查资料.docx 供应商类似项目业绩一览表 磋商方案及施工组织设计.docx 响应函 陕西省政府采购供应商拒绝政府采购领域商业贿赂承诺书.docx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 磋商方案及施工组织设计.docx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已标价工程量清单 中小企业声明函 承诺书.docx 响应文件封面 项目管理机构组成表 残疾人福利性单位声明函 报价函 供应商认为有必要说明的其他问题.docx 标的清单 资格审查资料.docx 供应商类似项目业绩一览表 磋商方案及施工组织设计.docx 响应函 陕西省政府采购供应商拒绝政府采购领域商业贿赂承诺书.docx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响应文件含有采购人不能接受的附加条件，按无效响应处理</w:t>
            </w:r>
          </w:p>
        </w:tc>
        <w:tc>
          <w:tcPr>
            <w:tcW w:type="dxa" w:w="3322"/>
          </w:tcPr>
          <w:p>
            <w:pPr>
              <w:pStyle w:val="null3"/>
            </w:pPr>
            <w:r>
              <w:rPr>
                <w:rFonts w:ascii="仿宋_GB2312" w:hAnsi="仿宋_GB2312" w:cs="仿宋_GB2312" w:eastAsia="仿宋_GB2312"/>
              </w:rPr>
              <w:t>响应文件含有采购人不能接受的附加条件，按无效响应处理</w:t>
            </w:r>
          </w:p>
        </w:tc>
        <w:tc>
          <w:tcPr>
            <w:tcW w:type="dxa" w:w="1661"/>
          </w:tcPr>
          <w:p>
            <w:pPr>
              <w:pStyle w:val="null3"/>
            </w:pPr>
            <w:r>
              <w:rPr>
                <w:rFonts w:ascii="仿宋_GB2312" w:hAnsi="仿宋_GB2312" w:cs="仿宋_GB2312" w:eastAsia="仿宋_GB2312"/>
              </w:rPr>
              <w:t>已标价工程量清单 中小企业声明函 承诺书.docx 响应文件封面 项目管理机构组成表 残疾人福利性单位声明函 报价函 供应商认为有必要说明的其他问题.docx 标的清单 资格审查资料.docx 供应商类似项目业绩一览表 磋商方案及施工组织设计.docx 响应函 陕西省政府采购供应商拒绝政府采购领域商业贿赂承诺书.docx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已标价工程量清单 中小企业声明函 承诺书.docx 响应文件封面 项目管理机构组成表 残疾人福利性单位声明函 报价函 供应商认为有必要说明的其他问题.docx 标的清单 资格审查资料.docx 供应商类似项目业绩一览表 磋商方案及施工组织设计.docx 响应函 陕西省政府采购供应商拒绝政府采购领域商业贿赂承诺书.docx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①编制详细、较完整、切实可行的得6分； ②编制比较详细、基本可行的得4分； ③编制粗略、可行性欠缺的得2分；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①编制详细、较完整、切实可行的得6分； ②编制比较详细、基本可行的得4分； ③编制粗略、可行性欠缺的得2分；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 xml:space="preserve"> ①编制详细、较完整、切实可行的得6分； ②编制比较详细、基本可行的得4分； ③编制粗略、可行性欠缺的得2分；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①编制详细、较完整、切实可行的得6分； ②编制比较详细、基本可行的得4分； ③编制粗略、可行性欠缺的得2分；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 xml:space="preserve"> ①编制详细、较完整、切实可行的得15分； ②编制比较详细、基本可行的得10分； ③编制粗略、可行性欠缺的得5分；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①编制详细、较合理、切实可行的得6分； ②编制比较详细、基本可行的得4分； ③编制粗略、可行性欠缺的得2分；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近三年完成的类似业绩一项得2分，最多得6分（提供2022年9月1日至今类似工程；投标文件中须附类似工程业绩中标通知书或合同协议书或竣工验收证明材料复印件或扫描件，并加盖公章）。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承诺（对农民工工资、不转包、不分包等的承诺）</w:t>
            </w:r>
          </w:p>
        </w:tc>
        <w:tc>
          <w:tcPr>
            <w:tcW w:type="dxa" w:w="2492"/>
          </w:tcPr>
          <w:p>
            <w:pPr>
              <w:pStyle w:val="null3"/>
            </w:pPr>
            <w:r>
              <w:rPr>
                <w:rFonts w:ascii="仿宋_GB2312" w:hAnsi="仿宋_GB2312" w:cs="仿宋_GB2312" w:eastAsia="仿宋_GB2312"/>
              </w:rPr>
              <w:t>根据供应商做出的承诺内容进行赋分： ①编制内容详细、完整的得3分； ②编制内容基本完整的得2分；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A.近三年完成的业绩一项得1分，最多得2分（2022 年 9 月 1 日至今类似工程：须附工程业绩中标通知书或合同专用条款或竣工验收证明材料复印件或扫描件，并加盖公章）； B.具有相关专业高级工程师及以上职称得 2分，具有工程师职称得 1 分；否则不得分（以职称证为准）。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资格审查资料.docx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具有相关专业高级工程师及以上职称得 2 分，具有工程师职称得 1 分；否则不得分（以职称证为准）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资格审查资料.docx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详见附件：磋商方案及施工组织设计.docx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