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版本号：SXYD25-ZFCG-092320250929001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富平县荆山大道与环城南路十字路口至石川河段雨水管道提升改造项目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SXYD25-ZFCG-0923</w:t>
      </w:r>
      <w:r>
        <w:br/>
      </w:r>
      <w:r>
        <w:br/>
      </w:r>
      <w:r>
        <w:br/>
      </w:r>
    </w:p>
    <w:p>
      <w:pPr>
        <w:pStyle w:val="null3"/>
        <w:jc w:val="center"/>
        <w:outlineLvl w:val="2"/>
      </w:pPr>
      <w:r>
        <w:rPr>
          <w:rFonts w:ascii="仿宋_GB2312" w:hAnsi="仿宋_GB2312" w:cs="仿宋_GB2312" w:eastAsia="仿宋_GB2312"/>
          <w:sz w:val="28"/>
          <w:b/>
        </w:rPr>
        <w:t>富平县住房和城乡建设局（本级）</w:t>
      </w:r>
    </w:p>
    <w:p>
      <w:pPr>
        <w:pStyle w:val="null3"/>
        <w:jc w:val="center"/>
        <w:outlineLvl w:val="2"/>
      </w:pPr>
      <w:r>
        <w:rPr>
          <w:rFonts w:ascii="仿宋_GB2312" w:hAnsi="仿宋_GB2312" w:cs="仿宋_GB2312" w:eastAsia="仿宋_GB2312"/>
          <w:sz w:val="28"/>
          <w:b/>
        </w:rPr>
        <w:t>陕西远大发展项目管理有限公司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陕西远大发展项目管理有限公司</w:t>
      </w:r>
      <w:r>
        <w:rPr>
          <w:rFonts w:ascii="仿宋_GB2312" w:hAnsi="仿宋_GB2312" w:cs="仿宋_GB2312" w:eastAsia="仿宋_GB2312"/>
        </w:rPr>
        <w:t>（以下简称“代理机构”）受</w:t>
      </w:r>
      <w:r>
        <w:rPr>
          <w:rFonts w:ascii="仿宋_GB2312" w:hAnsi="仿宋_GB2312" w:cs="仿宋_GB2312" w:eastAsia="仿宋_GB2312"/>
        </w:rPr>
        <w:t>富平县住房和城乡建设局（本级）</w:t>
      </w:r>
      <w:r>
        <w:rPr>
          <w:rFonts w:ascii="仿宋_GB2312" w:hAnsi="仿宋_GB2312" w:cs="仿宋_GB2312" w:eastAsia="仿宋_GB2312"/>
        </w:rPr>
        <w:t>委托，拟对</w:t>
      </w:r>
      <w:r>
        <w:rPr>
          <w:rFonts w:ascii="仿宋_GB2312" w:hAnsi="仿宋_GB2312" w:cs="仿宋_GB2312" w:eastAsia="仿宋_GB2312"/>
        </w:rPr>
        <w:t>富平县荆山大道与环城南路十字路口至石川河段雨水管道提升改造项目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SXYD25-ZFCG-0923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富平县荆山大道与环城南路十字路口至石川河段雨水管道提升改造项目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标内容为富平县荆山大道与环城南路十字路口至石川河段雨水管道提升改造项目，其中东段全长728.90米，管径分别为d1500、d2200mm，管材均为Ⅱ级钢筋混凝土钢承口管；西段全长149.38米，管径为d1500，管材为Ⅱ级钢筋混凝土钢承口管；东段检查井共9座，八字出水口1座；西段检查井2座，八字出水口1座；本次招标只实施西段部分，即d1500Ⅱ级钢筋混凝土钢承口管149.38米、查井2座，八字出水口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1、施工资质及安全生产许可证：须具备市政公用工程施工总承包三级及以上资质和有效的安全生产许可证</w:t>
      </w:r>
    </w:p>
    <w:p>
      <w:pPr>
        <w:pStyle w:val="null3"/>
      </w:pPr>
      <w:r>
        <w:rPr>
          <w:rFonts w:ascii="仿宋_GB2312" w:hAnsi="仿宋_GB2312" w:cs="仿宋_GB2312" w:eastAsia="仿宋_GB2312"/>
        </w:rPr>
        <w:t>2、拟派项目负责人资质和专业要求：条款专业等级：拟派项目经理具备市政公用工程专业二级及以上注册建造师资格和有效的安全生产考核合格证书（安B证），在本单位注册且无在建项目（提供承诺书）</w:t>
      </w:r>
    </w:p>
    <w:p>
      <w:pPr>
        <w:pStyle w:val="null3"/>
      </w:pPr>
      <w:r>
        <w:rPr>
          <w:rFonts w:ascii="仿宋_GB2312" w:hAnsi="仿宋_GB2312" w:cs="仿宋_GB2312" w:eastAsia="仿宋_GB2312"/>
        </w:rPr>
        <w:t>3、营业执照：具有独立承担民事责任能力的法人、其他组织或自然人，提供合法有效的统一社会信用代码营业执照（事业单位提供事业单位法人证书，自然人应提供身份证）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4、财务审计报告：提供2024年财务审计报告（成立时间至提交投标文件截止时间不足一年的可提供成立后任意时段的资产负债表），或其基本存款账户开户银行出具的资信证明（三个月内）及基本存款账户开户许可证（或基本账户备案证明）</w:t>
      </w:r>
    </w:p>
    <w:p>
      <w:pPr>
        <w:pStyle w:val="null3"/>
      </w:pPr>
      <w:r>
        <w:rPr>
          <w:rFonts w:ascii="仿宋_GB2312" w:hAnsi="仿宋_GB2312" w:cs="仿宋_GB2312" w:eastAsia="仿宋_GB2312"/>
        </w:rPr>
        <w:t>5、税收缴纳证明：须提供依法缴纳税收的良好记录：提供磋商截止时间前一年内已缴纳的至少一个月纳税凭证或完税证明，依法免税的单位应提供相关证明材料</w:t>
      </w:r>
    </w:p>
    <w:p>
      <w:pPr>
        <w:pStyle w:val="null3"/>
      </w:pPr>
      <w:r>
        <w:rPr>
          <w:rFonts w:ascii="仿宋_GB2312" w:hAnsi="仿宋_GB2312" w:cs="仿宋_GB2312" w:eastAsia="仿宋_GB2312"/>
        </w:rPr>
        <w:t>6、社保缴纳证明：须提供依法社会保障资金的良好记录：提供磋商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7、法定代表人授权委托书：提供法定代表人授权委托书原件（附法定代表人、被授权人身份证复印件）及被授权人身份证原件（法定代表人参会只须提供其身份证原件）</w:t>
      </w:r>
    </w:p>
    <w:p>
      <w:pPr>
        <w:pStyle w:val="null3"/>
      </w:pPr>
      <w:r>
        <w:rPr>
          <w:rFonts w:ascii="仿宋_GB2312" w:hAnsi="仿宋_GB2312" w:cs="仿宋_GB2312" w:eastAsia="仿宋_GB2312"/>
        </w:rPr>
        <w:t>8、信用中国等网站信用查询截图：供应商应在磋商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9、无重大违法记录的书面声明：提供近三年内在经营活动中无重大违法记录的书面声明</w:t>
      </w:r>
    </w:p>
    <w:p>
      <w:pPr>
        <w:pStyle w:val="null3"/>
      </w:pPr>
      <w:r>
        <w:rPr>
          <w:rFonts w:ascii="仿宋_GB2312" w:hAnsi="仿宋_GB2312" w:cs="仿宋_GB2312" w:eastAsia="仿宋_GB2312"/>
        </w:rPr>
        <w:t>10、专业技术能力的承诺函：提供具备履行本合同所必需的设备和专业技术能力的说明及承诺</w:t>
      </w:r>
    </w:p>
    <w:p>
      <w:pPr>
        <w:pStyle w:val="null3"/>
      </w:pPr>
      <w:r>
        <w:rPr>
          <w:rFonts w:ascii="仿宋_GB2312" w:hAnsi="仿宋_GB2312" w:cs="仿宋_GB2312" w:eastAsia="仿宋_GB2312"/>
        </w:rPr>
        <w:t>11、控股管理关系声明函：单位负责人为同一人或者存在直接控股、管理关系的不同供应商，不得参加同一合同项下的政府采购活动的书面声明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富平县车站大街143号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陕西远大发展项目管理有限公司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陕西省西咸新区沣西新城西部云谷B1楼二层201室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15129028932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开户名称：陕西远大发展项目管理有限公司富平县分公司</w:t>
            </w:r>
          </w:p>
          <w:p>
            <w:pPr>
              <w:pStyle w:val="null3"/>
            </w:pPr>
            <w:r>
              <w:rPr>
                <w:rFonts w:ascii="仿宋_GB2312" w:hAnsi="仿宋_GB2312" w:cs="仿宋_GB2312" w:eastAsia="仿宋_GB2312"/>
              </w:rPr>
              <w:t>开户银行：中国农业银行股份有限公司富平县东街支行</w:t>
            </w:r>
          </w:p>
          <w:p>
            <w:pPr>
              <w:pStyle w:val="null3"/>
            </w:pPr>
            <w:r>
              <w:rPr>
                <w:rFonts w:ascii="仿宋_GB2312" w:hAnsi="仿宋_GB2312" w:cs="仿宋_GB2312" w:eastAsia="仿宋_GB2312"/>
              </w:rPr>
              <w:t>银行账号：26556001040002277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按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富平县住房和城乡建设局（本级）</w:t>
      </w:r>
      <w:r>
        <w:rPr>
          <w:rFonts w:ascii="仿宋_GB2312" w:hAnsi="仿宋_GB2312" w:cs="仿宋_GB2312" w:eastAsia="仿宋_GB2312"/>
        </w:rPr>
        <w:t>和</w:t>
      </w:r>
      <w:r>
        <w:rPr>
          <w:rFonts w:ascii="仿宋_GB2312" w:hAnsi="仿宋_GB2312" w:cs="仿宋_GB2312" w:eastAsia="仿宋_GB2312"/>
        </w:rPr>
        <w:t>陕西远大发展项目管理有限公司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陕西远大发展项目管理有限公司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陕西远大发展项目管理有限公司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联系电话：15129028932</w:t>
      </w:r>
    </w:p>
    <w:p>
      <w:pPr>
        <w:pStyle w:val="null3"/>
      </w:pPr>
      <w:r>
        <w:rPr>
          <w:rFonts w:ascii="仿宋_GB2312" w:hAnsi="仿宋_GB2312" w:cs="仿宋_GB2312" w:eastAsia="仿宋_GB2312"/>
        </w:rPr>
        <w:t>地址：陕西省西咸新区沣西新城西部云谷B1楼二层201室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1,272,199.96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富平县荆山大道与环城南路十字路口至石川河段雨水管道提升改造项目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标的名称：富平县荆山大道与环城南路十字路口至石川河段雨水管道提升改造项目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一、工程概况</w:t>
            </w:r>
          </w:p>
          <w:p>
            <w:pPr>
              <w:pStyle w:val="null3"/>
              <w:ind w:firstLine="560"/>
              <w:jc w:val="both"/>
            </w:pPr>
            <w:r>
              <w:rPr>
                <w:rFonts w:ascii="仿宋_GB2312" w:hAnsi="仿宋_GB2312" w:cs="仿宋_GB2312" w:eastAsia="仿宋_GB2312"/>
                <w:sz w:val="21"/>
              </w:rPr>
              <w:t>本次招标内容为富平县荆山大道与环城南路十字路口至石川河段雨水管道提升改造项目，其中东段全长728.90米，管径分别为d1500、d2200mm，管材均为Ⅱ级钢筋混凝土钢承口管；西段全长149.38米，管径为d1500，管材为Ⅱ级钢筋混凝土钢承口管；东段检查井共9座，八字出水口1座；西段检查井2座，八字出水口1座；本次招标只实施西段部分，即d1500Ⅱ级钢筋混凝土钢承口管149.38米、查井2座，八字出水口1座。</w:t>
            </w:r>
          </w:p>
          <w:p>
            <w:pPr>
              <w:pStyle w:val="null3"/>
              <w:ind w:firstLine="560"/>
              <w:jc w:val="both"/>
            </w:pPr>
            <w:r>
              <w:rPr>
                <w:rFonts w:ascii="仿宋_GB2312" w:hAnsi="仿宋_GB2312" w:cs="仿宋_GB2312" w:eastAsia="仿宋_GB2312"/>
                <w:sz w:val="21"/>
              </w:rPr>
              <w:t>二、工程范围</w:t>
            </w:r>
          </w:p>
          <w:p>
            <w:pPr>
              <w:pStyle w:val="null3"/>
              <w:ind w:firstLine="560"/>
              <w:jc w:val="both"/>
            </w:pPr>
            <w:r>
              <w:rPr>
                <w:rFonts w:ascii="仿宋_GB2312" w:hAnsi="仿宋_GB2312" w:cs="仿宋_GB2312" w:eastAsia="仿宋_GB2312"/>
                <w:sz w:val="21"/>
              </w:rPr>
              <w:t>详见本工程施工图设计。</w:t>
            </w:r>
          </w:p>
          <w:p>
            <w:pPr>
              <w:pStyle w:val="null3"/>
              <w:ind w:firstLine="560"/>
              <w:jc w:val="both"/>
            </w:pPr>
            <w:r>
              <w:rPr>
                <w:rFonts w:ascii="仿宋_GB2312" w:hAnsi="仿宋_GB2312" w:cs="仿宋_GB2312" w:eastAsia="仿宋_GB2312"/>
                <w:sz w:val="21"/>
              </w:rPr>
              <w:t>三、编制依据</w:t>
            </w:r>
          </w:p>
          <w:p>
            <w:pPr>
              <w:pStyle w:val="null3"/>
              <w:ind w:firstLine="560"/>
              <w:jc w:val="both"/>
            </w:pPr>
            <w:r>
              <w:rPr>
                <w:rFonts w:ascii="仿宋_GB2312" w:hAnsi="仿宋_GB2312" w:cs="仿宋_GB2312" w:eastAsia="仿宋_GB2312"/>
                <w:sz w:val="21"/>
              </w:rPr>
              <w:t>1.陕西省工程建设标准《建设工程工程量清单计价标准》DB61/T 5126-2025。</w:t>
            </w:r>
          </w:p>
          <w:p>
            <w:pPr>
              <w:pStyle w:val="null3"/>
              <w:ind w:firstLine="560"/>
              <w:jc w:val="both"/>
            </w:pPr>
            <w:r>
              <w:rPr>
                <w:rFonts w:ascii="仿宋_GB2312" w:hAnsi="仿宋_GB2312" w:cs="仿宋_GB2312" w:eastAsia="仿宋_GB2312"/>
                <w:sz w:val="21"/>
              </w:rPr>
              <w:t>2.《陕西省建设工程费用规则》（2025）。</w:t>
            </w:r>
          </w:p>
          <w:p>
            <w:pPr>
              <w:pStyle w:val="null3"/>
              <w:ind w:firstLine="560"/>
              <w:jc w:val="both"/>
            </w:pPr>
            <w:r>
              <w:rPr>
                <w:rFonts w:ascii="仿宋_GB2312" w:hAnsi="仿宋_GB2312" w:cs="仿宋_GB2312" w:eastAsia="仿宋_GB2312"/>
                <w:sz w:val="21"/>
              </w:rPr>
              <w:t>3.陕西省工程建设标准《房屋建筑与装饰工程工程量计算标准》DB61/T 5129-2025、陕西省工程建设标准《通用安装工程工程量计算标准》DB61/T 5130-2025、陕西省工程建设标准《市政工程工程量计算标准》DB61/T 5128-2025、陕西省工程建设标准《园林绿化工程工程量计算标准》DB61/T 5131-2025。</w:t>
            </w:r>
          </w:p>
          <w:p>
            <w:pPr>
              <w:pStyle w:val="null3"/>
              <w:ind w:firstLine="560"/>
              <w:jc w:val="both"/>
            </w:pPr>
            <w:r>
              <w:rPr>
                <w:rFonts w:ascii="仿宋_GB2312" w:hAnsi="仿宋_GB2312" w:cs="仿宋_GB2312" w:eastAsia="仿宋_GB2312"/>
                <w:sz w:val="21"/>
              </w:rPr>
              <w:t>4.《陕西省市政工程消耗量定额》（2025）。</w:t>
            </w:r>
          </w:p>
          <w:p>
            <w:pPr>
              <w:pStyle w:val="null3"/>
              <w:ind w:firstLine="560"/>
              <w:jc w:val="both"/>
            </w:pPr>
            <w:r>
              <w:rPr>
                <w:rFonts w:ascii="仿宋_GB2312" w:hAnsi="仿宋_GB2312" w:cs="仿宋_GB2312" w:eastAsia="仿宋_GB2312"/>
                <w:sz w:val="21"/>
              </w:rPr>
              <w:t>5.《陕西省建设工程施工机械台班费用定额》（2025）、《陕西省建设工程施工仪器仪表台班费用定额》（2025）。</w:t>
            </w:r>
          </w:p>
          <w:p>
            <w:pPr>
              <w:pStyle w:val="null3"/>
              <w:ind w:firstLine="560"/>
              <w:jc w:val="both"/>
            </w:pPr>
            <w:r>
              <w:rPr>
                <w:rFonts w:ascii="仿宋_GB2312" w:hAnsi="仿宋_GB2312" w:cs="仿宋_GB2312" w:eastAsia="仿宋_GB2312"/>
                <w:sz w:val="21"/>
              </w:rPr>
              <w:t>6.《陕西省房屋建筑与装饰工程基价表》(2025)、《陕西省通用安装工程基价表》(2025)、《陕西省市政工程基价表》(2025）、《陕西省园林绿化工程基价表》(2025)、《陕西省城市地下综合管廊工程基价表》(2025)、《陕西省绿色建筑工程基价表》(2025)。</w:t>
            </w:r>
          </w:p>
          <w:p>
            <w:pPr>
              <w:pStyle w:val="null3"/>
              <w:ind w:firstLine="560"/>
              <w:jc w:val="both"/>
            </w:pPr>
            <w:r>
              <w:rPr>
                <w:rFonts w:ascii="仿宋_GB2312" w:hAnsi="仿宋_GB2312" w:cs="仿宋_GB2312" w:eastAsia="仿宋_GB2312"/>
                <w:sz w:val="21"/>
              </w:rPr>
              <w:t>7.招标文件、拟定的合同条款及相关资料；</w:t>
            </w:r>
          </w:p>
          <w:p>
            <w:pPr>
              <w:pStyle w:val="null3"/>
              <w:ind w:firstLine="560"/>
              <w:jc w:val="both"/>
            </w:pPr>
            <w:r>
              <w:rPr>
                <w:rFonts w:ascii="仿宋_GB2312" w:hAnsi="仿宋_GB2312" w:cs="仿宋_GB2312" w:eastAsia="仿宋_GB2312"/>
                <w:sz w:val="21"/>
              </w:rPr>
              <w:t>8.建设工程施工图设计文件及相关资料；</w:t>
            </w:r>
          </w:p>
          <w:p>
            <w:pPr>
              <w:pStyle w:val="null3"/>
              <w:ind w:firstLine="560"/>
              <w:jc w:val="both"/>
            </w:pPr>
            <w:r>
              <w:rPr>
                <w:rFonts w:ascii="仿宋_GB2312" w:hAnsi="仿宋_GB2312" w:cs="仿宋_GB2312" w:eastAsia="仿宋_GB2312"/>
                <w:sz w:val="21"/>
              </w:rPr>
              <w:t>9.与建设工程有关的标准、规范及技术资料；</w:t>
            </w:r>
          </w:p>
          <w:p>
            <w:pPr>
              <w:pStyle w:val="null3"/>
              <w:ind w:firstLine="560"/>
              <w:jc w:val="both"/>
            </w:pPr>
            <w:r>
              <w:rPr>
                <w:rFonts w:ascii="仿宋_GB2312" w:hAnsi="仿宋_GB2312" w:cs="仿宋_GB2312" w:eastAsia="仿宋_GB2312"/>
                <w:sz w:val="21"/>
              </w:rPr>
              <w:t>10.正常施工工期和施工条件，考虑企业常规的施工工艺、合理的施工组织设计进行编制。</w:t>
            </w:r>
          </w:p>
          <w:p>
            <w:pPr>
              <w:pStyle w:val="null3"/>
              <w:ind w:firstLine="560"/>
              <w:jc w:val="both"/>
            </w:pPr>
            <w:r>
              <w:rPr>
                <w:rFonts w:ascii="仿宋_GB2312" w:hAnsi="仿宋_GB2312" w:cs="仿宋_GB2312" w:eastAsia="仿宋_GB2312"/>
                <w:sz w:val="21"/>
              </w:rPr>
              <w:t>11.其他相关资料。</w:t>
            </w:r>
          </w:p>
          <w:p>
            <w:pPr>
              <w:pStyle w:val="null3"/>
              <w:ind w:firstLine="560"/>
              <w:jc w:val="both"/>
            </w:pPr>
            <w:r>
              <w:rPr>
                <w:rFonts w:ascii="仿宋_GB2312" w:hAnsi="仿宋_GB2312" w:cs="仿宋_GB2312" w:eastAsia="仿宋_GB2312"/>
                <w:sz w:val="21"/>
              </w:rPr>
              <w:t>12.增值税税率按9%计。</w:t>
            </w:r>
          </w:p>
          <w:p>
            <w:pPr>
              <w:pStyle w:val="null3"/>
              <w:ind w:firstLine="560"/>
              <w:jc w:val="both"/>
            </w:pPr>
            <w:r>
              <w:rPr>
                <w:rFonts w:ascii="仿宋_GB2312" w:hAnsi="仿宋_GB2312" w:cs="仿宋_GB2312" w:eastAsia="仿宋_GB2312"/>
                <w:sz w:val="21"/>
              </w:rPr>
              <w:t>四、其他说明</w:t>
            </w:r>
          </w:p>
          <w:p>
            <w:pPr>
              <w:pStyle w:val="null3"/>
              <w:ind w:firstLine="560"/>
              <w:jc w:val="both"/>
            </w:pPr>
            <w:r>
              <w:rPr>
                <w:rFonts w:ascii="仿宋_GB2312" w:hAnsi="仿宋_GB2312" w:cs="仿宋_GB2312" w:eastAsia="仿宋_GB2312"/>
                <w:sz w:val="21"/>
              </w:rPr>
              <w:t>1.主要材料价格参考2025年渭南市信息价第三期。</w:t>
            </w:r>
          </w:p>
          <w:p>
            <w:pPr>
              <w:pStyle w:val="null3"/>
              <w:ind w:firstLine="560"/>
              <w:jc w:val="both"/>
            </w:pPr>
            <w:r>
              <w:rPr>
                <w:rFonts w:ascii="仿宋_GB2312" w:hAnsi="仿宋_GB2312" w:cs="仿宋_GB2312" w:eastAsia="仿宋_GB2312"/>
                <w:sz w:val="21"/>
              </w:rPr>
              <w:t>2.暂列金额按10万元，列入其它项目费中。</w:t>
            </w:r>
          </w:p>
          <w:p>
            <w:pPr>
              <w:pStyle w:val="null3"/>
              <w:ind w:firstLine="560"/>
              <w:jc w:val="both"/>
            </w:pPr>
            <w:r>
              <w:rPr>
                <w:rFonts w:ascii="仿宋_GB2312" w:hAnsi="仿宋_GB2312" w:cs="仿宋_GB2312" w:eastAsia="仿宋_GB2312"/>
                <w:sz w:val="21"/>
              </w:rPr>
              <w:t>3.余土外运暂按5公里考虑。</w:t>
            </w:r>
          </w:p>
          <w:p>
            <w:pPr>
              <w:pStyle w:val="null3"/>
              <w:ind w:firstLine="560"/>
              <w:jc w:val="both"/>
            </w:pPr>
            <w:r>
              <w:rPr>
                <w:rFonts w:ascii="仿宋_GB2312" w:hAnsi="仿宋_GB2312" w:cs="仿宋_GB2312" w:eastAsia="仿宋_GB2312"/>
                <w:sz w:val="21"/>
              </w:rPr>
              <w:t>4.软件采用广联达7.</w:t>
            </w:r>
            <w:r>
              <w:rPr>
                <w:rFonts w:ascii="仿宋_GB2312" w:hAnsi="仿宋_GB2312" w:cs="仿宋_GB2312" w:eastAsia="仿宋_GB2312"/>
                <w:sz w:val="21"/>
              </w:rPr>
              <w:t>0 7</w:t>
            </w:r>
            <w:r>
              <w:rPr>
                <w:rFonts w:ascii="仿宋_GB2312" w:hAnsi="仿宋_GB2312" w:cs="仿宋_GB2312" w:eastAsia="仿宋_GB2312"/>
                <w:sz w:val="21"/>
              </w:rPr>
              <w:t>.</w:t>
            </w:r>
            <w:r>
              <w:rPr>
                <w:rFonts w:ascii="仿宋_GB2312" w:hAnsi="仿宋_GB2312" w:cs="仿宋_GB2312" w:eastAsia="仿宋_GB2312"/>
                <w:sz w:val="21"/>
              </w:rPr>
              <w:t>5000</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1.工期：自合同签订之日起90日历天完成本项目施工并达到国家验收规范合格标准。 2.付款方式：竣工验收合格后 ，达到付款条件起 30 日内，支付合同总金额的 70.00%。工程结算审计完成后，达到付款条件起 30 日内，支付合同总金额的 27.00%。在缺陷责任期满且达到质保要求后 ，达到付款条件起 30 日内，支付合同总金额的 3.00%。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财务审计报告（成立时间至提交投标文件截止时间不足一年的可提供成立后任意时段的资产负债表），或其基本存款账户开户银行出具的资信证明（三个月内）及基本存款账户开户许可证（或基本账户备案证明）；</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施工资质及安全生产许可证</w:t>
            </w:r>
          </w:p>
        </w:tc>
        <w:tc>
          <w:tcPr>
            <w:tcW w:type="dxa" w:w="3322"/>
          </w:tcPr>
          <w:p>
            <w:pPr>
              <w:pStyle w:val="null3"/>
            </w:pPr>
            <w:r>
              <w:rPr>
                <w:rFonts w:ascii="仿宋_GB2312" w:hAnsi="仿宋_GB2312" w:cs="仿宋_GB2312" w:eastAsia="仿宋_GB2312"/>
              </w:rPr>
              <w:t>须具备市政公用工程施工总承包三级及以上资质和有效的安全生产许可证</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条款专业等级：拟派项目经理具备市政公用工程专业二级及以上注册建造师资格和有效的安全生产考核合格证书（安B证），在本单位注册且无在建项目（提供承诺书）</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财务审计报告（成立时间至提交投标文件截止时间不足一年的可提供成立后任意时段的资产负债表），或其基本存款账户开户银行出具的资信证明（三个月内）及基本存款账户开户许可证（或基本账户备案证明）</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须提供依法缴纳税收的良好记录：提供磋商截止时间前一年内已缴纳的至少一个月纳税凭证或完税证明，依法免税的单位应提供相关证明材料</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须提供依法社会保障资金的良好记录：提供磋商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提供法定代表人授权委托书原件（附法定代表人、被授权人身份证复印件）及被授权人身份证原件（法定代表人参会只须提供其身份证原件）</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信用中国等网站信用查询截图</w:t>
            </w:r>
          </w:p>
        </w:tc>
        <w:tc>
          <w:tcPr>
            <w:tcW w:type="dxa" w:w="3322"/>
          </w:tcPr>
          <w:p>
            <w:pPr>
              <w:pStyle w:val="null3"/>
            </w:pPr>
            <w:r>
              <w:rPr>
                <w:rFonts w:ascii="仿宋_GB2312" w:hAnsi="仿宋_GB2312" w:cs="仿宋_GB2312" w:eastAsia="仿宋_GB2312"/>
              </w:rPr>
              <w:t>供应商应在磋商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专业技术能力的承诺函</w:t>
            </w:r>
          </w:p>
        </w:tc>
        <w:tc>
          <w:tcPr>
            <w:tcW w:type="dxa" w:w="3322"/>
          </w:tcPr>
          <w:p>
            <w:pPr>
              <w:pStyle w:val="null3"/>
            </w:pPr>
            <w:r>
              <w:rPr>
                <w:rFonts w:ascii="仿宋_GB2312" w:hAnsi="仿宋_GB2312" w:cs="仿宋_GB2312" w:eastAsia="仿宋_GB2312"/>
              </w:rPr>
              <w:t>提供具备履行本合同所必需的设备和专业技术能力的说明及承诺</w:t>
            </w:r>
          </w:p>
        </w:tc>
        <w:tc>
          <w:tcPr>
            <w:tcW w:type="dxa" w:w="1661"/>
          </w:tcPr>
          <w:p>
            <w:pPr>
              <w:pStyle w:val="null3"/>
            </w:pPr>
            <w:r>
              <w:rPr>
                <w:rFonts w:ascii="仿宋_GB2312" w:hAnsi="仿宋_GB2312" w:cs="仿宋_GB2312" w:eastAsia="仿宋_GB2312"/>
              </w:rPr>
              <w:t>四、资格证明文件.docx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四、资格证明文件.docx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标的清单 三、已标价工程量清单 二、报价函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响应文件构成是否有重大缺项，是否按照采购文件要求的格式编写响应文件。</w:t>
            </w:r>
          </w:p>
        </w:tc>
        <w:tc>
          <w:tcPr>
            <w:tcW w:type="dxa" w:w="1661"/>
          </w:tcPr>
          <w:p>
            <w:pPr>
              <w:pStyle w:val="null3"/>
            </w:pPr>
            <w:r>
              <w:rPr>
                <w:rFonts w:ascii="仿宋_GB2312" w:hAnsi="仿宋_GB2312" w:cs="仿宋_GB2312" w:eastAsia="仿宋_GB2312"/>
              </w:rPr>
              <w:t>四、资格证明文件.docx 中小企业声明函 八、供应商类似项目业绩一览表 响应文件封面 一、响应函 五、项目管理机构组成表 九、保证金缴纳凭证及其他有需要说明的事项.docx 残疾人福利性单位声明函 标的清单 三、已标价工程量清单 二、报价函 六、主要人员简历表 七、磋商方案及施工组织设计.docx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 xml:space="preserve"> 报价唯一，且没有低于成本价或高于采购预算的。</w:t>
            </w:r>
          </w:p>
        </w:tc>
        <w:tc>
          <w:tcPr>
            <w:tcW w:type="dxa" w:w="1661"/>
          </w:tcPr>
          <w:p>
            <w:pPr>
              <w:pStyle w:val="null3"/>
            </w:pPr>
            <w:r>
              <w:rPr>
                <w:rFonts w:ascii="仿宋_GB2312" w:hAnsi="仿宋_GB2312" w:cs="仿宋_GB2312" w:eastAsia="仿宋_GB2312"/>
              </w:rPr>
              <w:t>标的清单 二、报价函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按照磋商文件要求提供投标保证金缴纳凭证。</w:t>
            </w:r>
          </w:p>
        </w:tc>
        <w:tc>
          <w:tcPr>
            <w:tcW w:type="dxa" w:w="1661"/>
          </w:tcPr>
          <w:p>
            <w:pPr>
              <w:pStyle w:val="null3"/>
            </w:pPr>
            <w:r>
              <w:rPr>
                <w:rFonts w:ascii="仿宋_GB2312" w:hAnsi="仿宋_GB2312" w:cs="仿宋_GB2312" w:eastAsia="仿宋_GB2312"/>
              </w:rPr>
              <w:t>九、保证金缴纳凭证及其他有需要说明的事项.docx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①编制详细、较完整、切实可行的得10.1-15分； ②编制比较详细、基本可行的得5.1-10分； ③编制粗略、可行性欠缺的得1-5分；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承诺（对农民工工资、不转包、不分包等的承诺）</w:t>
            </w:r>
          </w:p>
        </w:tc>
        <w:tc>
          <w:tcPr>
            <w:tcW w:type="dxa" w:w="2492"/>
          </w:tcPr>
          <w:p>
            <w:pPr>
              <w:pStyle w:val="null3"/>
            </w:pPr>
            <w:r>
              <w:rPr>
                <w:rFonts w:ascii="仿宋_GB2312" w:hAnsi="仿宋_GB2312" w:cs="仿宋_GB2312" w:eastAsia="仿宋_GB2312"/>
              </w:rPr>
              <w:t>①编制详细、较完整、切实可行的得4.1-6分； ②编制比较详细、基本可行的得2.1-4分；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近三年完成的类似业绩一项得2分，最多得10分（提供2022年1月1日至今类似工程；响应文件中须附类似工程业绩中标通知书或合同协议书的复印件或扫描件作为证明材料，并加盖公章）。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八、供应商类似项目业绩一览表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A.近三年完成的业绩一项得1分，最多得2分（2022 年 1 月 1 日至今类似工程：响应文件中须附类似工程业绩中标通知书或合同协议书的复印件或扫描件作为证明材料，要能体现项目经理姓名，并加盖公章）； B.具有相关专业工程师及以上职称得3分，否则不得分（以职称证为准）。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五、项目管理机构组成表</w:t>
            </w:r>
          </w:p>
          <w:p>
            <w:pPr>
              <w:pStyle w:val="null3"/>
            </w:pPr>
            <w:r>
              <w:rPr>
                <w:rFonts w:ascii="仿宋_GB2312" w:hAnsi="仿宋_GB2312" w:cs="仿宋_GB2312" w:eastAsia="仿宋_GB2312"/>
              </w:rPr>
              <w:t>六、主要人员简历表</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具有相关专业高级工程师及以上职称得 4分，具有工程师职称得 2 分；否则不得分（以职称证为准）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五、项目管理机构组成表</w:t>
            </w:r>
          </w:p>
          <w:p>
            <w:pPr>
              <w:pStyle w:val="null3"/>
            </w:pPr>
            <w:r>
              <w:rPr>
                <w:rFonts w:ascii="仿宋_GB2312" w:hAnsi="仿宋_GB2312" w:cs="仿宋_GB2312" w:eastAsia="仿宋_GB2312"/>
              </w:rPr>
              <w:t>六、主要人员简历表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具有专业的团队人员组成（包括但不限于质量员、安全员、施工员、材料员、资料员等）上岗证书（安全员须含安全生产考核合格C证）的每证得2分，共计10分。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六、主要人员简历表</w:t>
            </w:r>
          </w:p>
          <w:p>
            <w:pPr>
              <w:pStyle w:val="null3"/>
            </w:pPr>
            <w:r>
              <w:rPr>
                <w:rFonts w:ascii="仿宋_GB2312" w:hAnsi="仿宋_GB2312" w:cs="仿宋_GB2312" w:eastAsia="仿宋_GB2312"/>
              </w:rPr>
              <w:t>五、项目管理机构组成表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①评标基准价的确定：经对各供应商初步审查合格后，将有效投标价格最低的作为评标基准价，此项得满分；投标报价大于预算价的，为无效报价，应作为无效标处理；最低得分为零分。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三、已标价工程量清单 二、报价函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详见附件：一、响应函</w:t>
      </w:r>
    </w:p>
    <w:p>
      <w:pPr>
        <w:pStyle w:val="null3"/>
        <w:ind w:firstLine="960"/>
      </w:pPr>
      <w:r>
        <w:rPr>
          <w:rFonts w:ascii="仿宋_GB2312" w:hAnsi="仿宋_GB2312" w:cs="仿宋_GB2312" w:eastAsia="仿宋_GB2312"/>
        </w:rPr>
        <w:t>详见附件：二、报价函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详见附件：三、已标价工程量清单</w:t>
      </w:r>
    </w:p>
    <w:p>
      <w:pPr>
        <w:pStyle w:val="null3"/>
        <w:ind w:firstLine="960"/>
      </w:pPr>
      <w:r>
        <w:rPr>
          <w:rFonts w:ascii="仿宋_GB2312" w:hAnsi="仿宋_GB2312" w:cs="仿宋_GB2312" w:eastAsia="仿宋_GB2312"/>
        </w:rPr>
        <w:t>详见附件：四、资格证明文件.docx</w:t>
      </w:r>
    </w:p>
    <w:p>
      <w:pPr>
        <w:pStyle w:val="null3"/>
        <w:ind w:firstLine="960"/>
      </w:pPr>
      <w:r>
        <w:rPr>
          <w:rFonts w:ascii="仿宋_GB2312" w:hAnsi="仿宋_GB2312" w:cs="仿宋_GB2312" w:eastAsia="仿宋_GB2312"/>
        </w:rPr>
        <w:t>详见附件：五、项目管理机构组成表</w:t>
      </w:r>
    </w:p>
    <w:p>
      <w:pPr>
        <w:pStyle w:val="null3"/>
        <w:ind w:firstLine="960"/>
      </w:pPr>
      <w:r>
        <w:rPr>
          <w:rFonts w:ascii="仿宋_GB2312" w:hAnsi="仿宋_GB2312" w:cs="仿宋_GB2312" w:eastAsia="仿宋_GB2312"/>
        </w:rPr>
        <w:t>详见附件：六、主要人员简历表</w:t>
      </w:r>
    </w:p>
    <w:p>
      <w:pPr>
        <w:pStyle w:val="null3"/>
        <w:ind w:firstLine="960"/>
      </w:pPr>
      <w:r>
        <w:rPr>
          <w:rFonts w:ascii="仿宋_GB2312" w:hAnsi="仿宋_GB2312" w:cs="仿宋_GB2312" w:eastAsia="仿宋_GB2312"/>
        </w:rPr>
        <w:t>详见附件：七、磋商方案及施工组织设计.docx</w:t>
      </w:r>
    </w:p>
    <w:p>
      <w:pPr>
        <w:pStyle w:val="null3"/>
        <w:ind w:firstLine="960"/>
      </w:pPr>
      <w:r>
        <w:rPr>
          <w:rFonts w:ascii="仿宋_GB2312" w:hAnsi="仿宋_GB2312" w:cs="仿宋_GB2312" w:eastAsia="仿宋_GB2312"/>
        </w:rPr>
        <w:t>详见附件：八、供应商类似项目业绩一览表</w:t>
      </w:r>
    </w:p>
    <w:p>
      <w:pPr>
        <w:pStyle w:val="null3"/>
        <w:ind w:firstLine="960"/>
      </w:pPr>
      <w:r>
        <w:rPr>
          <w:rFonts w:ascii="仿宋_GB2312" w:hAnsi="仿宋_GB2312" w:cs="仿宋_GB2312" w:eastAsia="仿宋_GB2312"/>
        </w:rPr>
        <w:t>详见附件：九、保证金缴纳凭证及其他有需要说明的事项.docx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