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版本号：ZHZB-2025-10820251009001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富平县公务用车信息化管理服务平台技术运行维护项目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ZHZB-2025-108</w:t>
      </w:r>
      <w:r>
        <w:br/>
      </w:r>
      <w:r>
        <w:br/>
      </w:r>
      <w:r>
        <w:br/>
      </w:r>
    </w:p>
    <w:p>
      <w:pPr>
        <w:pStyle w:val="null3"/>
        <w:jc w:val="center"/>
        <w:outlineLvl w:val="2"/>
      </w:pPr>
      <w:r>
        <w:rPr>
          <w:rFonts w:ascii="仿宋_GB2312" w:hAnsi="仿宋_GB2312" w:cs="仿宋_GB2312" w:eastAsia="仿宋_GB2312"/>
          <w:sz w:val="28"/>
          <w:b/>
        </w:rPr>
        <w:t>富平县人民政府办公室（本级）</w:t>
      </w:r>
    </w:p>
    <w:p>
      <w:pPr>
        <w:pStyle w:val="null3"/>
        <w:jc w:val="center"/>
        <w:outlineLvl w:val="2"/>
      </w:pPr>
      <w:r>
        <w:rPr>
          <w:rFonts w:ascii="仿宋_GB2312" w:hAnsi="仿宋_GB2312" w:cs="仿宋_GB2312" w:eastAsia="仿宋_GB2312"/>
          <w:sz w:val="28"/>
          <w:b/>
        </w:rPr>
        <w:t>众合国际项目管理有限公司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众合国际项目管理有限公司</w:t>
      </w:r>
      <w:r>
        <w:rPr>
          <w:rFonts w:ascii="仿宋_GB2312" w:hAnsi="仿宋_GB2312" w:cs="仿宋_GB2312" w:eastAsia="仿宋_GB2312"/>
        </w:rPr>
        <w:t>（以下简称“代理机构”）受</w:t>
      </w:r>
      <w:r>
        <w:rPr>
          <w:rFonts w:ascii="仿宋_GB2312" w:hAnsi="仿宋_GB2312" w:cs="仿宋_GB2312" w:eastAsia="仿宋_GB2312"/>
        </w:rPr>
        <w:t>富平县人民政府办公室（本级）</w:t>
      </w:r>
      <w:r>
        <w:rPr>
          <w:rFonts w:ascii="仿宋_GB2312" w:hAnsi="仿宋_GB2312" w:cs="仿宋_GB2312" w:eastAsia="仿宋_GB2312"/>
        </w:rPr>
        <w:t>委托，拟对</w:t>
      </w:r>
      <w:r>
        <w:rPr>
          <w:rFonts w:ascii="仿宋_GB2312" w:hAnsi="仿宋_GB2312" w:cs="仿宋_GB2312" w:eastAsia="仿宋_GB2312"/>
        </w:rPr>
        <w:t>富平县公务用车信息化管理服务平台技术运行维护项目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ZHZB-2025-108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富平县公务用车信息化管理服务平台技术运行维护项目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中央车改办连续印发《关于进一步加强公务用车平台建设的通知》、《关于完善配套政策持续巩固公车改革成果的通知》、《关于加快公车改革取消车辆处置工作的通知》，要求各级地方政府建设车辆管理平台。 为落实中改办指示，保障全县各部门正常的公务出行，政府单位公务车辆需实行集中统一管理，实现“管理平台化、平台信息化、车辆标识化”，建立统一管理模式，做到“便捷派车、高效用车、透明管车、有效督车”。富平县按照中省车改办文件精神，通过建设公务用车信息化管理服务平台，将车改后保留车辆纳入平台统一管理，以满足公务用车信息化管理要求。 本项目是对富平县公务用车信息化管理服务平台488台车载定位设备及平台进行运行维护服务，既要保障富平县公务用车信息化管理服务平台自身管理的要求，同时要保障与陕西省及渭南市现有系统软件平台的无缝对接，做到数据互联互通，以达到省市级文件“全省一张网”、“全市一张网”建设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采购包1（富平县公务用车信息化管理服务平台技术运行维护项目）：属于专门面向中小企业采购。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1、特定资格要求：（1）供应商的营业执照等证明文件，自然人的身份证明；(2) 法定代表人参加磋商的，提供本人身份证复印件；法定代表人授权他人参加磋商的，提供法定代表人委托授权书并出示被授权代表的身份证复印件；（3）提供2024年度经审计的财务报告（成立时间至递交磋商响应文件文件截止时间不足一年的可提供成立后任意时段的财务报表）或其提交响应文件截止时间前3个月内银行出具的资信证明。（4）税收缴纳证明：提供磋商响应文件截止时间前半年内任意一个月的纳税证明或完税证明，依法免税的单位应提供相关证明材料；（5）社会保障资金缴纳证明：提供磋商响应文件截止时间前半年内任意一个月的社会保障资金缴存单据或社保机构开具的社会保险参保缴费情况证明，依法不需要缴纳社会保障资金的单位应提供相关证明材料；（6）具备履行合同所必需的设备和专业技术能力的证明；(7)参加本次招标前3年内，在经营活动中没有重大违法记录的书面声明；（8）供应商未被“信用中国”网站列入失信被执行人、重大税收违法失信主体名单，未被“中国政府采购网”网站列入政府采购严重违法失信行为记录名单；（9）单位负责人为同一人或者存在直接控股、管理关系的不同供应商，不得参加同一合同项下的采购活动；（10）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富平县人民政府办公室（本级）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富平县莲湖大街1号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18329302335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众合国际项目管理有限公司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西安市莲湖区丰登南路3号1幢306室(丰庆公园向西200米PM中心三楼）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张盼、王臻、王阿磊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15502905959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采购包1：1,620,960.00元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发展计划委员会计价格[2002]1980号文件及国家发展和改革委员会办公厅颁发的《关于降低部分建设项目收费标准规范收费行为等有关问题的通知》（发改价格[2011]534号）的规定服务类标准收取。 2、代理服务费缴纳账户信息： 银行户名：众合国际项目管理有限公司 开户银行：西安银行股份有限公司高新四路支行 账 号：6110 1158 0000 0858 34 说明：转账时请备注项目名称。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富平县人民政府办公室（本级）</w:t>
      </w:r>
      <w:r>
        <w:rPr>
          <w:rFonts w:ascii="仿宋_GB2312" w:hAnsi="仿宋_GB2312" w:cs="仿宋_GB2312" w:eastAsia="仿宋_GB2312"/>
        </w:rPr>
        <w:t>和</w:t>
      </w:r>
      <w:r>
        <w:rPr>
          <w:rFonts w:ascii="仿宋_GB2312" w:hAnsi="仿宋_GB2312" w:cs="仿宋_GB2312" w:eastAsia="仿宋_GB2312"/>
        </w:rPr>
        <w:t>众合国际项目管理有限公司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富平县人民政府办公室（本级）</w:t>
      </w:r>
      <w:r>
        <w:rPr>
          <w:rFonts w:ascii="仿宋_GB2312" w:hAnsi="仿宋_GB2312" w:cs="仿宋_GB2312" w:eastAsia="仿宋_GB2312"/>
        </w:rPr>
        <w:t>负责解释。除上述磋商文件内容，其他内容由</w:t>
      </w:r>
      <w:r>
        <w:rPr>
          <w:rFonts w:ascii="仿宋_GB2312" w:hAnsi="仿宋_GB2312" w:cs="仿宋_GB2312" w:eastAsia="仿宋_GB2312"/>
        </w:rPr>
        <w:t>众合国际项目管理有限公司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富平县人民政府办公室（本级）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众合国际项目管理有限公司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以合同、磋商文件、响应文件、澄清、及国家相应的标准、规范等为依据。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联系人：张盼、王臻、王阿磊</w:t>
      </w:r>
    </w:p>
    <w:p>
      <w:pPr>
        <w:pStyle w:val="null3"/>
      </w:pPr>
      <w:r>
        <w:rPr>
          <w:rFonts w:ascii="仿宋_GB2312" w:hAnsi="仿宋_GB2312" w:cs="仿宋_GB2312" w:eastAsia="仿宋_GB2312"/>
        </w:rPr>
        <w:t>联系电话：15502905959</w:t>
      </w:r>
    </w:p>
    <w:p>
      <w:pPr>
        <w:pStyle w:val="null3"/>
      </w:pPr>
      <w:r>
        <w:rPr>
          <w:rFonts w:ascii="仿宋_GB2312" w:hAnsi="仿宋_GB2312" w:cs="仿宋_GB2312" w:eastAsia="仿宋_GB2312"/>
        </w:rPr>
        <w:t>地址：西安市莲湖区丰登南路3号1幢306室(丰庆公园向西200米PM中心三楼）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中央车改办连续印发《关于进一步加强公务用车平台建设的通知》、《关于完善配套政策持续巩固公车改革成果的通知》、《关于加快公车改革取消车辆处置工作的通知》，要求各级地方政府建设车辆管理平台。 为落实中改办指示，保障全县各部门正常的公务出行，政府单位公务车辆需实行集中统一管理，实现“管理平台化、平台信息化、车辆标识化”，建立统一管理模式，做到“便捷派车、高效用车、透明管车、有效督车”。富平县按照中省车改办文件精神，通过建设公务用车信息化管理服务平台，将车改后保留车辆纳入平台统一管理，以满足公务用车信息化管理要求。 本项目是对富平县公务用车信息化管理服务平台488台车载定位设备及平台进行运行维护服务，既要保障富平县公务用车信息化管理服务平台自身管理的要求，同时要保障与陕西省及渭南市现有系统软件平台的无缝对接，做到数据互联互通，以达到省市级文件“全省一张网”、“全市一张网”建设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1,620,960.00</w:t>
      </w:r>
    </w:p>
    <w:p>
      <w:pPr>
        <w:pStyle w:val="null3"/>
      </w:pPr>
      <w:r>
        <w:rPr>
          <w:rFonts w:ascii="仿宋_GB2312" w:hAnsi="仿宋_GB2312" w:cs="仿宋_GB2312" w:eastAsia="仿宋_GB2312"/>
        </w:rPr>
        <w:t>采购包最高限价（元）: 1,620,960.00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富平县公务用车信息化管理服务平台技术运行维护项目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1,620,960.00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标的名称：富平县公务用车信息化管理服务平台技术运行维护项目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w:t>
            </w:r>
            <w:r>
              <w:rPr>
                <w:rFonts w:ascii="仿宋_GB2312" w:hAnsi="仿宋_GB2312" w:cs="仿宋_GB2312" w:eastAsia="仿宋_GB2312"/>
              </w:rPr>
              <w:t>、服务要求</w:t>
            </w:r>
          </w:p>
          <w:p>
            <w:pPr>
              <w:pStyle w:val="null3"/>
            </w:pPr>
            <w:r>
              <w:rPr>
                <w:rFonts w:ascii="仿宋_GB2312" w:hAnsi="仿宋_GB2312" w:cs="仿宋_GB2312" w:eastAsia="仿宋_GB2312"/>
              </w:rPr>
              <w:t>项目名称：富平县公务用车信息化管理服务平台技术运行维护服务项目</w:t>
            </w:r>
          </w:p>
          <w:p>
            <w:pPr>
              <w:pStyle w:val="null3"/>
            </w:pPr>
            <w:r>
              <w:rPr>
                <w:rFonts w:ascii="仿宋_GB2312" w:hAnsi="仿宋_GB2312" w:cs="仿宋_GB2312" w:eastAsia="仿宋_GB2312"/>
              </w:rPr>
              <w:t>项目内容：对</w:t>
            </w:r>
            <w:r>
              <w:rPr>
                <w:rFonts w:ascii="仿宋_GB2312" w:hAnsi="仿宋_GB2312" w:cs="仿宋_GB2312" w:eastAsia="仿宋_GB2312"/>
              </w:rPr>
              <w:t>488辆车平台运行维护服务。</w:t>
            </w:r>
          </w:p>
          <w:p>
            <w:pPr>
              <w:pStyle w:val="null3"/>
            </w:pPr>
            <w:r>
              <w:rPr>
                <w:rFonts w:ascii="仿宋_GB2312" w:hAnsi="仿宋_GB2312" w:cs="仿宋_GB2312" w:eastAsia="仿宋_GB2312"/>
              </w:rPr>
              <w:t>服务期限；</w:t>
            </w:r>
            <w:r>
              <w:rPr>
                <w:rFonts w:ascii="仿宋_GB2312" w:hAnsi="仿宋_GB2312" w:cs="仿宋_GB2312" w:eastAsia="仿宋_GB2312"/>
              </w:rPr>
              <w:t>自合同签订之日起</w:t>
            </w:r>
            <w:r>
              <w:rPr>
                <w:rFonts w:ascii="仿宋_GB2312" w:hAnsi="仿宋_GB2312" w:cs="仿宋_GB2312" w:eastAsia="仿宋_GB2312"/>
              </w:rPr>
              <w:t>2 年</w:t>
            </w:r>
          </w:p>
          <w:p>
            <w:pPr>
              <w:pStyle w:val="null3"/>
            </w:pPr>
            <w:r>
              <w:rPr>
                <w:rFonts w:ascii="仿宋_GB2312" w:hAnsi="仿宋_GB2312" w:cs="仿宋_GB2312" w:eastAsia="仿宋_GB2312"/>
              </w:rPr>
              <w:t>项目预算金额：</w:t>
            </w:r>
            <w:r>
              <w:rPr>
                <w:rFonts w:ascii="仿宋_GB2312" w:hAnsi="仿宋_GB2312" w:cs="仿宋_GB2312" w:eastAsia="仿宋_GB2312"/>
              </w:rPr>
              <w:t>162.096万元。</w:t>
            </w:r>
          </w:p>
          <w:p>
            <w:pPr>
              <w:pStyle w:val="null3"/>
            </w:pPr>
            <w:r>
              <w:rPr>
                <w:rFonts w:ascii="仿宋_GB2312" w:hAnsi="仿宋_GB2312" w:cs="仿宋_GB2312" w:eastAsia="仿宋_GB2312"/>
              </w:rPr>
              <w:t>2</w:t>
            </w:r>
            <w:r>
              <w:rPr>
                <w:rFonts w:ascii="仿宋_GB2312" w:hAnsi="仿宋_GB2312" w:cs="仿宋_GB2312" w:eastAsia="仿宋_GB2312"/>
              </w:rPr>
              <w:t>、服务内容</w:t>
            </w:r>
          </w:p>
          <w:p>
            <w:pPr>
              <w:pStyle w:val="null3"/>
            </w:pPr>
            <w:r>
              <w:rPr>
                <w:rFonts w:ascii="仿宋_GB2312" w:hAnsi="仿宋_GB2312" w:cs="仿宋_GB2312" w:eastAsia="仿宋_GB2312"/>
              </w:rPr>
              <w:t>需要对整个系统平台进行为期</w:t>
            </w:r>
            <w:r>
              <w:rPr>
                <w:rFonts w:ascii="仿宋_GB2312" w:hAnsi="仿宋_GB2312" w:cs="仿宋_GB2312" w:eastAsia="仿宋_GB2312"/>
              </w:rPr>
              <w:t>2 年的维护，维护的范围包括网络、服务器及数据的日常运维；对系统及服务器漏洞扫描与防护；对系统功能的完善及升级；对硬件设备的维护保养；对短信平台服务、物联网SIM 流量专人进行日常管理。 针对软件平台系统进行日常维护，每天定时登录服务器检查程序服务中间件、软件系统、服务器软件日志是否存在异常和报错，检查服务器网络是否存在异常； 定期漏洞修复；平台功能升级、车载客户端软件、平台联调集成、接入后管理运营、数据备份等维护性操作。对 488 台北斗定位终端拆除、改装、维修、定期巡检、维护保养、设备系统升级。</w:t>
            </w:r>
          </w:p>
          <w:p>
            <w:pPr>
              <w:pStyle w:val="null3"/>
            </w:pPr>
            <w:r>
              <w:rPr>
                <w:rFonts w:ascii="仿宋_GB2312" w:hAnsi="仿宋_GB2312" w:cs="仿宋_GB2312" w:eastAsia="仿宋_GB2312"/>
              </w:rPr>
              <w:t>3</w:t>
            </w:r>
            <w:r>
              <w:rPr>
                <w:rFonts w:ascii="仿宋_GB2312" w:hAnsi="仿宋_GB2312" w:cs="仿宋_GB2312" w:eastAsia="仿宋_GB2312"/>
              </w:rPr>
              <w:t>、终端设备备品备件技术要求</w:t>
            </w:r>
          </w:p>
          <w:p>
            <w:pPr>
              <w:pStyle w:val="null3"/>
            </w:pPr>
            <w:r>
              <w:rPr>
                <w:rFonts w:ascii="仿宋_GB2312" w:hAnsi="仿宋_GB2312" w:cs="仿宋_GB2312" w:eastAsia="仿宋_GB2312"/>
              </w:rPr>
              <w:t>北斗定位车载终端：北斗车载终端可实现车辆定位及车身动态信息采集，具有远程参数配置功能，为了保证后续产品服务的连贯性，北斗定位终端供应商应该与本平台建设供应方保持一致或能够提供统一的售后服务及技术服务。</w:t>
            </w:r>
          </w:p>
          <w:p>
            <w:pPr>
              <w:pStyle w:val="null3"/>
            </w:pPr>
            <w:r>
              <w:rPr>
                <w:rFonts w:ascii="仿宋_GB2312" w:hAnsi="仿宋_GB2312" w:cs="仿宋_GB2312" w:eastAsia="仿宋_GB2312"/>
              </w:rPr>
              <w:t>北斗定位车载终端技术要求</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）通过</w:t>
            </w:r>
            <w:r>
              <w:rPr>
                <w:rFonts w:ascii="仿宋_GB2312" w:hAnsi="仿宋_GB2312" w:cs="仿宋_GB2312" w:eastAsia="仿宋_GB2312"/>
              </w:rPr>
              <w:t>ACC接线获取车辆启停信息；</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）具有实时位置查询、定时监控、盲区补传、终端软件远程升级功能；</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）具有区域限制、超速报警功能；</w:t>
            </w:r>
            <w:r>
              <w:rPr>
                <w:rFonts w:ascii="仿宋_GB2312" w:hAnsi="仿宋_GB2312" w:cs="仿宋_GB2312" w:eastAsia="仿宋_GB2312"/>
              </w:rPr>
              <w:t xml:space="preserve">      </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）拐点补传、基站定位以及低功耗模式；</w:t>
            </w:r>
          </w:p>
          <w:p>
            <w:pPr>
              <w:pStyle w:val="null3"/>
            </w:pPr>
            <w:r>
              <w:rPr>
                <w:rFonts w:ascii="仿宋_GB2312" w:hAnsi="仿宋_GB2312" w:cs="仿宋_GB2312" w:eastAsia="仿宋_GB2312"/>
              </w:rPr>
              <w:t>环境特性：正常工作温度范围</w:t>
            </w:r>
            <w:r>
              <w:rPr>
                <w:rFonts w:ascii="仿宋_GB2312" w:hAnsi="仿宋_GB2312" w:cs="仿宋_GB2312" w:eastAsia="仿宋_GB2312"/>
              </w:rPr>
              <w:t>-25℃~75℃</w:t>
            </w:r>
          </w:p>
          <w:p>
            <w:pPr>
              <w:pStyle w:val="null3"/>
            </w:pPr>
            <w:r>
              <w:rPr>
                <w:rFonts w:ascii="仿宋_GB2312" w:hAnsi="仿宋_GB2312" w:cs="仿宋_GB2312" w:eastAsia="仿宋_GB2312"/>
              </w:rPr>
              <w:t>存储温度范围：</w:t>
            </w:r>
            <w:r>
              <w:rPr>
                <w:rFonts w:ascii="仿宋_GB2312" w:hAnsi="仿宋_GB2312" w:cs="仿宋_GB2312" w:eastAsia="仿宋_GB2312"/>
              </w:rPr>
              <w:t>-40℃~85℃；     工作电压：DC 9~36V；</w:t>
            </w:r>
          </w:p>
          <w:p>
            <w:pPr>
              <w:pStyle w:val="null3"/>
            </w:pPr>
            <w:r>
              <w:rPr>
                <w:rFonts w:ascii="仿宋_GB2312" w:hAnsi="仿宋_GB2312" w:cs="仿宋_GB2312" w:eastAsia="仿宋_GB2312"/>
              </w:rPr>
              <w:t>工作电流：</w:t>
            </w:r>
            <w:r>
              <w:rPr>
                <w:rFonts w:ascii="仿宋_GB2312" w:hAnsi="仿宋_GB2312" w:cs="仿宋_GB2312" w:eastAsia="仿宋_GB2312"/>
              </w:rPr>
              <w:t>48~52mA@12V (休眠状态电流 18~21mA@12V)</w:t>
            </w:r>
          </w:p>
          <w:p>
            <w:pPr>
              <w:pStyle w:val="null3"/>
            </w:pPr>
            <w:r>
              <w:rPr>
                <w:rFonts w:ascii="仿宋_GB2312" w:hAnsi="仿宋_GB2312" w:cs="仿宋_GB2312" w:eastAsia="仿宋_GB2312"/>
              </w:rPr>
              <w:t>定位方式：北斗定位；</w:t>
            </w:r>
            <w:r>
              <w:rPr>
                <w:rFonts w:ascii="仿宋_GB2312" w:hAnsi="仿宋_GB2312" w:cs="仿宋_GB2312" w:eastAsia="仿宋_GB2312"/>
              </w:rPr>
              <w:t xml:space="preserve">             </w:t>
            </w:r>
            <w:r>
              <w:rPr>
                <w:rFonts w:ascii="仿宋_GB2312" w:hAnsi="仿宋_GB2312" w:cs="仿宋_GB2312" w:eastAsia="仿宋_GB2312"/>
              </w:rPr>
              <w:t>定位误差：</w:t>
            </w:r>
            <w:r>
              <w:rPr>
                <w:rFonts w:ascii="仿宋_GB2312" w:hAnsi="仿宋_GB2312" w:cs="仿宋_GB2312" w:eastAsia="仿宋_GB2312"/>
              </w:rPr>
              <w:t>10m；</w:t>
            </w:r>
          </w:p>
          <w:p>
            <w:pPr>
              <w:pStyle w:val="null3"/>
            </w:pPr>
            <w:r>
              <w:rPr>
                <w:rFonts w:ascii="仿宋_GB2312" w:hAnsi="仿宋_GB2312" w:cs="仿宋_GB2312" w:eastAsia="仿宋_GB2312"/>
              </w:rPr>
              <w:t>通信网络：</w:t>
            </w:r>
            <w:r>
              <w:rPr>
                <w:rFonts w:ascii="仿宋_GB2312" w:hAnsi="仿宋_GB2312" w:cs="仿宋_GB2312" w:eastAsia="仿宋_GB2312"/>
              </w:rPr>
              <w:t>GPRS；                 通讯方式：TCP/UDP；</w:t>
            </w:r>
          </w:p>
          <w:p>
            <w:pPr>
              <w:pStyle w:val="null3"/>
            </w:pPr>
            <w:r>
              <w:rPr>
                <w:rFonts w:ascii="仿宋_GB2312" w:hAnsi="仿宋_GB2312" w:cs="仿宋_GB2312" w:eastAsia="仿宋_GB2312"/>
              </w:rPr>
              <w:t>后备电池工作时间：</w:t>
            </w:r>
            <w:r>
              <w:rPr>
                <w:rFonts w:ascii="仿宋_GB2312" w:hAnsi="仿宋_GB2312" w:cs="仿宋_GB2312" w:eastAsia="仿宋_GB2312"/>
              </w:rPr>
              <w:t>电池充饱电的前提下，可连续工作</w:t>
            </w:r>
            <w:r>
              <w:rPr>
                <w:rFonts w:ascii="仿宋_GB2312" w:hAnsi="仿宋_GB2312" w:cs="仿宋_GB2312" w:eastAsia="仿宋_GB2312"/>
              </w:rPr>
              <w:t>1.5h 左右；</w:t>
            </w:r>
          </w:p>
          <w:p>
            <w:pPr>
              <w:pStyle w:val="null3"/>
            </w:pPr>
            <w:r>
              <w:rPr>
                <w:rFonts w:ascii="仿宋_GB2312" w:hAnsi="仿宋_GB2312" w:cs="仿宋_GB2312" w:eastAsia="仿宋_GB2312"/>
              </w:rPr>
              <w:t>其他性能要求：数据协议符合国家交通部</w:t>
            </w:r>
            <w:r>
              <w:rPr>
                <w:rFonts w:ascii="仿宋_GB2312" w:hAnsi="仿宋_GB2312" w:cs="仿宋_GB2312" w:eastAsia="仿宋_GB2312"/>
              </w:rPr>
              <w:t>JT808 协议，无缝过渡公车管理平 台，实现车载数据的接收、解析和存储，并与业务关联，实现对平台车辆的监管。</w:t>
            </w:r>
          </w:p>
          <w:p>
            <w:pPr>
              <w:pStyle w:val="null3"/>
            </w:pPr>
            <w:r>
              <w:rPr>
                <w:rFonts w:ascii="仿宋_GB2312" w:hAnsi="仿宋_GB2312" w:cs="仿宋_GB2312" w:eastAsia="仿宋_GB2312"/>
              </w:rPr>
              <w:t>4</w:t>
            </w:r>
            <w:r>
              <w:rPr>
                <w:rFonts w:ascii="仿宋_GB2312" w:hAnsi="仿宋_GB2312" w:cs="仿宋_GB2312" w:eastAsia="仿宋_GB2312"/>
              </w:rPr>
              <w:t>、服务</w:t>
            </w:r>
            <w:r>
              <w:rPr>
                <w:rFonts w:ascii="仿宋_GB2312" w:hAnsi="仿宋_GB2312" w:cs="仿宋_GB2312" w:eastAsia="仿宋_GB2312"/>
              </w:rPr>
              <w:t>参数要求</w:t>
            </w:r>
          </w:p>
          <w:tbl>
            <w:tblPr>
              <w:tblInd w:type="dxa" w:w="105"/>
              <w:tblBorders>
                <w:top w:val="none" w:color="000000" w:sz="4"/>
                <w:left w:val="none" w:color="000000" w:sz="4"/>
                <w:bottom w:val="none" w:color="000000" w:sz="4"/>
                <w:right w:val="none" w:color="000000" w:sz="4"/>
                <w:insideH w:val="none"/>
                <w:insideV w:val="none"/>
              </w:tblBorders>
            </w:tblPr>
            <w:tblGrid>
              <w:gridCol w:w="278"/>
              <w:gridCol w:w="457"/>
              <w:gridCol w:w="1452"/>
              <w:gridCol w:w="184"/>
              <w:gridCol w:w="168"/>
            </w:tblGrid>
            <w:tr>
              <w:tc>
                <w:tcPr>
                  <w:tcW w:type="dxa" w:w="2539"/>
                  <w:gridSpan w:val="5"/>
                  <w:tcBorders>
                    <w:top w:val="single" w:color="000000" w:sz="4"/>
                    <w:left w:val="single" w:color="000000" w:sz="4"/>
                    <w:bottom w:val="single" w:color="000000" w:sz="4"/>
                    <w:right w:val="single" w:color="000000" w:sz="4"/>
                  </w:tcBorders>
                  <w:shd w:fill="D8D8D8"/>
                  <w:tcMar>
                    <w:top w:type="dxa" w:w="0"/>
                    <w:left w:type="dxa" w:w="0"/>
                    <w:bottom w:type="dxa" w:w="0"/>
                    <w:right w:type="dxa" w:w="0"/>
                  </w:tcMar>
                  <w:vAlign w:val="top"/>
                </w:tcPr>
                <w:p>
                  <w:pPr>
                    <w:pStyle w:val="null3"/>
                    <w:jc w:val="left"/>
                  </w:pPr>
                  <w:r>
                    <w:rPr>
                      <w:rFonts w:ascii="仿宋_GB2312" w:hAnsi="仿宋_GB2312" w:cs="仿宋_GB2312" w:eastAsia="仿宋_GB2312"/>
                    </w:rPr>
                    <w:t>软件平台</w:t>
                  </w:r>
                  <w:r>
                    <w:rPr>
                      <w:rFonts w:ascii="仿宋_GB2312" w:hAnsi="仿宋_GB2312" w:cs="仿宋_GB2312" w:eastAsia="仿宋_GB2312"/>
                    </w:rPr>
                    <w:t>功能维护</w:t>
                  </w:r>
                </w:p>
              </w:tc>
            </w:tr>
            <w:tr>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名称</w:t>
                  </w:r>
                </w:p>
              </w:tc>
              <w:tc>
                <w:tcPr>
                  <w:tcW w:type="dxa" w:w="45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功能模块</w:t>
                  </w:r>
                </w:p>
              </w:tc>
              <w:tc>
                <w:tcPr>
                  <w:tcW w:type="dxa" w:w="145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功能描述</w:t>
                  </w:r>
                  <w:r>
                    <w:rPr>
                      <w:rFonts w:ascii="仿宋_GB2312" w:hAnsi="仿宋_GB2312" w:cs="仿宋_GB2312" w:eastAsia="仿宋_GB2312"/>
                    </w:rPr>
                    <w:t>(或参数要求)</w:t>
                  </w:r>
                </w:p>
              </w:tc>
              <w:tc>
                <w:tcPr>
                  <w:tcW w:type="dxa" w:w="1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数量</w:t>
                  </w:r>
                </w:p>
              </w:tc>
              <w:tc>
                <w:tcPr>
                  <w:tcW w:type="dxa" w:w="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单位</w:t>
                  </w:r>
                </w:p>
              </w:tc>
            </w:tr>
            <w:tr>
              <w:tc>
                <w:tcPr>
                  <w:tcW w:type="dxa" w:w="27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公务用车信息</w:t>
                  </w:r>
                  <w:r>
                    <w:rPr>
                      <w:rFonts w:ascii="仿宋_GB2312" w:hAnsi="仿宋_GB2312" w:cs="仿宋_GB2312" w:eastAsia="仿宋_GB2312"/>
                    </w:rPr>
                    <w:t>化</w:t>
                  </w:r>
                  <w:r>
                    <w:rPr>
                      <w:rFonts w:ascii="仿宋_GB2312" w:hAnsi="仿宋_GB2312" w:cs="仿宋_GB2312" w:eastAsia="仿宋_GB2312"/>
                    </w:rPr>
                    <w:t>管理</w:t>
                  </w:r>
                  <w:r>
                    <w:rPr>
                      <w:rFonts w:ascii="仿宋_GB2312" w:hAnsi="仿宋_GB2312" w:cs="仿宋_GB2312" w:eastAsia="仿宋_GB2312"/>
                    </w:rPr>
                    <w:t>服务</w:t>
                  </w:r>
                  <w:r>
                    <w:rPr>
                      <w:rFonts w:ascii="仿宋_GB2312" w:hAnsi="仿宋_GB2312" w:cs="仿宋_GB2312" w:eastAsia="仿宋_GB2312"/>
                    </w:rPr>
                    <w:t>平台</w:t>
                  </w:r>
                </w:p>
              </w:tc>
              <w:tc>
                <w:tcPr>
                  <w:tcW w:type="dxa" w:w="4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用户登录</w:t>
                  </w:r>
                </w:p>
              </w:tc>
              <w:tc>
                <w:tcPr>
                  <w:tcW w:type="dxa" w:w="1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Web端和APP端支持用户名和口令登录</w:t>
                  </w:r>
                </w:p>
              </w:tc>
              <w:tc>
                <w:tcPr>
                  <w:tcW w:type="dxa" w:w="18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w:t>
                  </w:r>
                </w:p>
              </w:tc>
              <w:tc>
                <w:tcPr>
                  <w:tcW w:type="dxa" w:w="16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套</w:t>
                  </w:r>
                </w:p>
              </w:tc>
            </w:tr>
            <w:tr>
              <w:tc>
                <w:tcPr>
                  <w:tcW w:type="dxa" w:w="278"/>
                  <w:vMerge/>
                  <w:tcBorders>
                    <w:top w:val="none" w:color="000000" w:sz="4"/>
                    <w:left w:val="single" w:color="000000" w:sz="4"/>
                    <w:bottom w:val="single" w:color="000000" w:sz="4"/>
                    <w:right w:val="single" w:color="000000" w:sz="4"/>
                  </w:tcBorders>
                </w:tcPr>
                <w:p/>
              </w:tc>
              <w:tc>
                <w:tcPr>
                  <w:tcW w:type="dxa" w:w="4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工作台</w:t>
                  </w:r>
                </w:p>
              </w:tc>
              <w:tc>
                <w:tcPr>
                  <w:tcW w:type="dxa" w:w="1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展示公车平台总体运行状况，包括车辆数、车辆运行状态、订单数量、使用率等指标；不同角色登录看到不同的展示信息</w:t>
                  </w:r>
                </w:p>
              </w:tc>
              <w:tc>
                <w:tcPr>
                  <w:tcW w:type="dxa" w:w="184"/>
                  <w:vMerge/>
                  <w:tcBorders>
                    <w:top w:val="none" w:color="000000" w:sz="4"/>
                    <w:left w:val="single" w:color="000000" w:sz="4"/>
                    <w:bottom w:val="single" w:color="000000" w:sz="4"/>
                    <w:right w:val="single" w:color="000000" w:sz="4"/>
                  </w:tcBorders>
                </w:tcPr>
                <w:p/>
              </w:tc>
              <w:tc>
                <w:tcPr>
                  <w:tcW w:type="dxa" w:w="168"/>
                  <w:vMerge/>
                  <w:tcBorders>
                    <w:top w:val="none" w:color="000000" w:sz="4"/>
                    <w:left w:val="singl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4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报警总览</w:t>
                  </w:r>
                </w:p>
              </w:tc>
              <w:tc>
                <w:tcPr>
                  <w:tcW w:type="dxa" w:w="1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通过一张图可以看到整个平台车辆不同类型告警信息的总览数据。</w:t>
                  </w:r>
                </w:p>
              </w:tc>
              <w:tc>
                <w:tcPr>
                  <w:tcW w:type="dxa" w:w="184"/>
                  <w:vMerge/>
                  <w:tcBorders>
                    <w:top w:val="none" w:color="000000" w:sz="4"/>
                    <w:left w:val="single" w:color="000000" w:sz="4"/>
                    <w:bottom w:val="single" w:color="000000" w:sz="4"/>
                    <w:right w:val="single" w:color="000000" w:sz="4"/>
                  </w:tcBorders>
                </w:tcPr>
                <w:p/>
              </w:tc>
              <w:tc>
                <w:tcPr>
                  <w:tcW w:type="dxa" w:w="168"/>
                  <w:vMerge/>
                  <w:tcBorders>
                    <w:top w:val="none" w:color="000000" w:sz="4"/>
                    <w:left w:val="singl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4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报警设置</w:t>
                  </w:r>
                </w:p>
              </w:tc>
              <w:tc>
                <w:tcPr>
                  <w:tcW w:type="dxa" w:w="1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可以针对不同的场景和业务流程设置不同的告警规则条件，同时还可以针对短信提醒规则、数据上报规则、告警时效等参数进行设置。</w:t>
                  </w:r>
                </w:p>
              </w:tc>
              <w:tc>
                <w:tcPr>
                  <w:tcW w:type="dxa" w:w="184"/>
                  <w:vMerge/>
                  <w:tcBorders>
                    <w:top w:val="none" w:color="000000" w:sz="4"/>
                    <w:left w:val="single" w:color="000000" w:sz="4"/>
                    <w:bottom w:val="single" w:color="000000" w:sz="4"/>
                    <w:right w:val="single" w:color="000000" w:sz="4"/>
                  </w:tcBorders>
                </w:tcPr>
                <w:p/>
              </w:tc>
              <w:tc>
                <w:tcPr>
                  <w:tcW w:type="dxa" w:w="168"/>
                  <w:vMerge/>
                  <w:tcBorders>
                    <w:top w:val="none" w:color="000000" w:sz="4"/>
                    <w:left w:val="singl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4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车辆报警</w:t>
                  </w:r>
                </w:p>
              </w:tc>
              <w:tc>
                <w:tcPr>
                  <w:tcW w:type="dxa" w:w="1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包括超速报警、离线报警、未审批出车报警、断电报警等几种报警类型的业务数据的统计和呈现。</w:t>
                  </w:r>
                </w:p>
              </w:tc>
              <w:tc>
                <w:tcPr>
                  <w:tcW w:type="dxa" w:w="184"/>
                  <w:vMerge/>
                  <w:tcBorders>
                    <w:top w:val="none" w:color="000000" w:sz="4"/>
                    <w:left w:val="single" w:color="000000" w:sz="4"/>
                    <w:bottom w:val="single" w:color="000000" w:sz="4"/>
                    <w:right w:val="single" w:color="000000" w:sz="4"/>
                  </w:tcBorders>
                </w:tcPr>
                <w:p/>
              </w:tc>
              <w:tc>
                <w:tcPr>
                  <w:tcW w:type="dxa" w:w="168"/>
                  <w:vMerge/>
                  <w:tcBorders>
                    <w:top w:val="none" w:color="000000" w:sz="4"/>
                    <w:left w:val="singl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4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全省一张网</w:t>
                  </w:r>
                </w:p>
              </w:tc>
              <w:tc>
                <w:tcPr>
                  <w:tcW w:type="dxa" w:w="1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通过一张地图实现所有车辆在一张网中定位和呈现，也是体现省市县数据互通的一种场景；</w:t>
                  </w:r>
                </w:p>
              </w:tc>
              <w:tc>
                <w:tcPr>
                  <w:tcW w:type="dxa" w:w="184"/>
                  <w:vMerge/>
                  <w:tcBorders>
                    <w:top w:val="none" w:color="000000" w:sz="4"/>
                    <w:left w:val="single" w:color="000000" w:sz="4"/>
                    <w:bottom w:val="single" w:color="000000" w:sz="4"/>
                    <w:right w:val="single" w:color="000000" w:sz="4"/>
                  </w:tcBorders>
                </w:tcPr>
                <w:p/>
              </w:tc>
              <w:tc>
                <w:tcPr>
                  <w:tcW w:type="dxa" w:w="168"/>
                  <w:vMerge/>
                  <w:tcBorders>
                    <w:top w:val="none" w:color="000000" w:sz="4"/>
                    <w:left w:val="singl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4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监督分析</w:t>
                  </w:r>
                </w:p>
              </w:tc>
              <w:tc>
                <w:tcPr>
                  <w:tcW w:type="dxa" w:w="1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包括车辆统计、订单统计、历史统计等：可以对车辆数据进行统计；可按照单位部门、车辆类型等维度实现车辆统计，按照车辆的性质分类、车辆的类型进行统计；对产生的订单数据进行不同维度的统计分析，可按照出行次数、区域订单数、时间等维度进行统计，可按照数量进行排行；对车辆的使用频率进行统计和分析，按照使用率进行排行；</w:t>
                  </w:r>
                </w:p>
              </w:tc>
              <w:tc>
                <w:tcPr>
                  <w:tcW w:type="dxa" w:w="184"/>
                  <w:vMerge/>
                  <w:tcBorders>
                    <w:top w:val="none" w:color="000000" w:sz="4"/>
                    <w:left w:val="single" w:color="000000" w:sz="4"/>
                    <w:bottom w:val="single" w:color="000000" w:sz="4"/>
                    <w:right w:val="single" w:color="000000" w:sz="4"/>
                  </w:tcBorders>
                </w:tcPr>
                <w:p/>
              </w:tc>
              <w:tc>
                <w:tcPr>
                  <w:tcW w:type="dxa" w:w="168"/>
                  <w:vMerge/>
                  <w:tcBorders>
                    <w:top w:val="none" w:color="000000" w:sz="4"/>
                    <w:left w:val="singl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4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用车申请</w:t>
                  </w:r>
                </w:p>
              </w:tc>
              <w:tc>
                <w:tcPr>
                  <w:tcW w:type="dxa" w:w="1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支持在线申请公务用车流程，满足本单位用车、跨单位用车等不同场景下的流程需要；支持对于任务型场景下的用车需求，满足应急公务、执法执勤等特殊场景下的用车申请流程</w:t>
                  </w:r>
                </w:p>
              </w:tc>
              <w:tc>
                <w:tcPr>
                  <w:tcW w:type="dxa" w:w="184"/>
                  <w:vMerge/>
                  <w:tcBorders>
                    <w:top w:val="none" w:color="000000" w:sz="4"/>
                    <w:left w:val="single" w:color="000000" w:sz="4"/>
                    <w:bottom w:val="single" w:color="000000" w:sz="4"/>
                    <w:right w:val="single" w:color="000000" w:sz="4"/>
                  </w:tcBorders>
                </w:tcPr>
                <w:p/>
              </w:tc>
              <w:tc>
                <w:tcPr>
                  <w:tcW w:type="dxa" w:w="168"/>
                  <w:vMerge/>
                  <w:tcBorders>
                    <w:top w:val="none" w:color="000000" w:sz="4"/>
                    <w:left w:val="singl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4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车辆监控</w:t>
                  </w:r>
                </w:p>
              </w:tc>
              <w:tc>
                <w:tcPr>
                  <w:tcW w:type="dxa" w:w="1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支持在一张图上实现所有车辆的位置定位；针对车辆实时位置，可进行动态车辆跟踪，查看车辆当前状态和位置以及对应的订单信息；系统提供车辆轨迹回放功能，通过查询目标车辆运行的历史时间段，在地图上勾画车辆运行轨迹，并可动态播放；</w:t>
                  </w:r>
                </w:p>
              </w:tc>
              <w:tc>
                <w:tcPr>
                  <w:tcW w:type="dxa" w:w="184"/>
                  <w:vMerge/>
                  <w:tcBorders>
                    <w:top w:val="none" w:color="000000" w:sz="4"/>
                    <w:left w:val="single" w:color="000000" w:sz="4"/>
                    <w:bottom w:val="single" w:color="000000" w:sz="4"/>
                    <w:right w:val="single" w:color="000000" w:sz="4"/>
                  </w:tcBorders>
                </w:tcPr>
                <w:p/>
              </w:tc>
              <w:tc>
                <w:tcPr>
                  <w:tcW w:type="dxa" w:w="168"/>
                  <w:vMerge/>
                  <w:tcBorders>
                    <w:top w:val="none" w:color="000000" w:sz="4"/>
                    <w:left w:val="singl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4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车辆档案</w:t>
                  </w:r>
                </w:p>
              </w:tc>
              <w:tc>
                <w:tcPr>
                  <w:tcW w:type="dxa" w:w="1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提供对所有车辆登记功能，支持信息的更新、图片上传以及信息维护等基本功能；</w:t>
                  </w:r>
                </w:p>
              </w:tc>
              <w:tc>
                <w:tcPr>
                  <w:tcW w:type="dxa" w:w="184"/>
                  <w:vMerge/>
                  <w:tcBorders>
                    <w:top w:val="none" w:color="000000" w:sz="4"/>
                    <w:left w:val="single" w:color="000000" w:sz="4"/>
                    <w:bottom w:val="single" w:color="000000" w:sz="4"/>
                    <w:right w:val="single" w:color="000000" w:sz="4"/>
                  </w:tcBorders>
                </w:tcPr>
                <w:p/>
              </w:tc>
              <w:tc>
                <w:tcPr>
                  <w:tcW w:type="dxa" w:w="168"/>
                  <w:vMerge/>
                  <w:tcBorders>
                    <w:top w:val="none" w:color="000000" w:sz="4"/>
                    <w:left w:val="singl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4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车辆维护</w:t>
                  </w:r>
                </w:p>
              </w:tc>
              <w:tc>
                <w:tcPr>
                  <w:tcW w:type="dxa" w:w="1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平台应该具备对车辆的维保记录、加油管理、油卡、年检、违章、</w:t>
                  </w:r>
                  <w:r>
                    <w:rPr>
                      <w:rFonts w:ascii="仿宋_GB2312" w:hAnsi="仿宋_GB2312" w:cs="仿宋_GB2312" w:eastAsia="仿宋_GB2312"/>
                    </w:rPr>
                    <w:t>ETC、保险等，与车辆维护相关的管理功能，可以通过平台信息了解该车辆的运行维护现状；</w:t>
                  </w:r>
                </w:p>
              </w:tc>
              <w:tc>
                <w:tcPr>
                  <w:tcW w:type="dxa" w:w="184"/>
                  <w:vMerge/>
                  <w:tcBorders>
                    <w:top w:val="none" w:color="000000" w:sz="4"/>
                    <w:left w:val="single" w:color="000000" w:sz="4"/>
                    <w:bottom w:val="single" w:color="000000" w:sz="4"/>
                    <w:right w:val="single" w:color="000000" w:sz="4"/>
                  </w:tcBorders>
                </w:tcPr>
                <w:p/>
              </w:tc>
              <w:tc>
                <w:tcPr>
                  <w:tcW w:type="dxa" w:w="168"/>
                  <w:vMerge/>
                  <w:tcBorders>
                    <w:top w:val="none" w:color="000000" w:sz="4"/>
                    <w:left w:val="singl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4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驾驶员管理</w:t>
                  </w:r>
                </w:p>
              </w:tc>
              <w:tc>
                <w:tcPr>
                  <w:tcW w:type="dxa" w:w="1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提供对驾驶员信息的维护管理功能，可对驾驶员档案进行登记和维护；同时对于驾驶员考勤，包括出勤、请假等日常工作在岗状态进行管理；</w:t>
                  </w:r>
                </w:p>
              </w:tc>
              <w:tc>
                <w:tcPr>
                  <w:tcW w:type="dxa" w:w="184"/>
                  <w:vMerge/>
                  <w:tcBorders>
                    <w:top w:val="none" w:color="000000" w:sz="4"/>
                    <w:left w:val="single" w:color="000000" w:sz="4"/>
                    <w:bottom w:val="single" w:color="000000" w:sz="4"/>
                    <w:right w:val="single" w:color="000000" w:sz="4"/>
                  </w:tcBorders>
                </w:tcPr>
                <w:p/>
              </w:tc>
              <w:tc>
                <w:tcPr>
                  <w:tcW w:type="dxa" w:w="168"/>
                  <w:vMerge/>
                  <w:tcBorders>
                    <w:top w:val="none" w:color="000000" w:sz="4"/>
                    <w:left w:val="singl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4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第三方公司对接</w:t>
                  </w:r>
                </w:p>
              </w:tc>
              <w:tc>
                <w:tcPr>
                  <w:tcW w:type="dxa" w:w="1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系统提供针对可以提供合作的社会化车辆租赁、维保、保险等第三方运营公司的信息进行新增、编辑、删除、停用等日常管理操作</w:t>
                  </w:r>
                </w:p>
              </w:tc>
              <w:tc>
                <w:tcPr>
                  <w:tcW w:type="dxa" w:w="184"/>
                  <w:vMerge/>
                  <w:tcBorders>
                    <w:top w:val="none" w:color="000000" w:sz="4"/>
                    <w:left w:val="single" w:color="000000" w:sz="4"/>
                    <w:bottom w:val="single" w:color="000000" w:sz="4"/>
                    <w:right w:val="single" w:color="000000" w:sz="4"/>
                  </w:tcBorders>
                </w:tcPr>
                <w:p/>
              </w:tc>
              <w:tc>
                <w:tcPr>
                  <w:tcW w:type="dxa" w:w="168"/>
                  <w:vMerge/>
                  <w:tcBorders>
                    <w:top w:val="none" w:color="000000" w:sz="4"/>
                    <w:left w:val="singl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4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系统设置</w:t>
                  </w:r>
                </w:p>
              </w:tc>
              <w:tc>
                <w:tcPr>
                  <w:tcW w:type="dxa" w:w="1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为保证系统正常运行，提供用户管理、权限设置、角色、流程参数等有关基础维护的相关功能；</w:t>
                  </w:r>
                </w:p>
              </w:tc>
              <w:tc>
                <w:tcPr>
                  <w:tcW w:type="dxa" w:w="184"/>
                  <w:vMerge/>
                  <w:tcBorders>
                    <w:top w:val="none" w:color="000000" w:sz="4"/>
                    <w:left w:val="single" w:color="000000" w:sz="4"/>
                    <w:bottom w:val="single" w:color="000000" w:sz="4"/>
                    <w:right w:val="single" w:color="000000" w:sz="4"/>
                  </w:tcBorders>
                </w:tcPr>
                <w:p/>
              </w:tc>
              <w:tc>
                <w:tcPr>
                  <w:tcW w:type="dxa" w:w="168"/>
                  <w:vMerge/>
                  <w:tcBorders>
                    <w:top w:val="none" w:color="000000" w:sz="4"/>
                    <w:left w:val="single" w:color="000000" w:sz="4"/>
                    <w:bottom w:val="single" w:color="000000" w:sz="4"/>
                    <w:right w:val="single" w:color="000000" w:sz="4"/>
                  </w:tcBorders>
                </w:tcPr>
                <w:p/>
              </w:tc>
            </w:tr>
            <w:tr>
              <w:tc>
                <w:tcPr>
                  <w:tcW w:type="dxa" w:w="27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手机客户端软件</w:t>
                  </w:r>
                </w:p>
              </w:tc>
              <w:tc>
                <w:tcPr>
                  <w:tcW w:type="dxa" w:w="4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手机</w:t>
                  </w:r>
                  <w:r>
                    <w:rPr>
                      <w:rFonts w:ascii="仿宋_GB2312" w:hAnsi="仿宋_GB2312" w:cs="仿宋_GB2312" w:eastAsia="仿宋_GB2312"/>
                    </w:rPr>
                    <w:t>APP</w:t>
                  </w:r>
                </w:p>
              </w:tc>
              <w:tc>
                <w:tcPr>
                  <w:tcW w:type="dxa" w:w="1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实现驾驶员账号口令登录，在线任务操作，通过手机</w:t>
                  </w:r>
                  <w:r>
                    <w:rPr>
                      <w:rFonts w:ascii="仿宋_GB2312" w:hAnsi="仿宋_GB2312" w:cs="仿宋_GB2312" w:eastAsia="仿宋_GB2312"/>
                    </w:rPr>
                    <w:t>APP实现接单、执行任务、入库操作；在线申请维修、保养，在线申请请假、休假，打卡签到操作，实现任务导航功能等。</w:t>
                  </w:r>
                </w:p>
                <w:p>
                  <w:pPr>
                    <w:pStyle w:val="null3"/>
                    <w:jc w:val="left"/>
                  </w:pPr>
                  <w:r>
                    <w:rPr>
                      <w:rFonts w:ascii="仿宋_GB2312" w:hAnsi="仿宋_GB2312" w:cs="仿宋_GB2312" w:eastAsia="仿宋_GB2312"/>
                    </w:rPr>
                    <w:t>管理人员通过账号、口令登录，实现订单多级在线审批，单车任务跟踪、费用核实、调度日志查看。</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w:t>
                  </w:r>
                </w:p>
              </w:tc>
              <w:tc>
                <w:tcPr>
                  <w:tcW w:type="dxa" w:w="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套</w:t>
                  </w:r>
                </w:p>
              </w:tc>
            </w:tr>
            <w:tr>
              <w:tc>
                <w:tcPr>
                  <w:tcW w:type="dxa" w:w="278"/>
                  <w:vMerge/>
                  <w:tcBorders>
                    <w:top w:val="none" w:color="000000" w:sz="4"/>
                    <w:left w:val="single" w:color="000000" w:sz="4"/>
                    <w:bottom w:val="single" w:color="000000" w:sz="4"/>
                    <w:right w:val="single" w:color="000000" w:sz="4"/>
                  </w:tcBorders>
                </w:tcPr>
                <w:p/>
              </w:tc>
              <w:tc>
                <w:tcPr>
                  <w:tcW w:type="dxa" w:w="4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微信小程序</w:t>
                  </w:r>
                </w:p>
              </w:tc>
              <w:tc>
                <w:tcPr>
                  <w:tcW w:type="dxa" w:w="1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实现驾驶员账号口令登录，在线任务操作，通过手机</w:t>
                  </w:r>
                  <w:r>
                    <w:rPr>
                      <w:rFonts w:ascii="仿宋_GB2312" w:hAnsi="仿宋_GB2312" w:cs="仿宋_GB2312" w:eastAsia="仿宋_GB2312"/>
                    </w:rPr>
                    <w:t>APP实现接单、执行任务、入库操作；在线申请维修、保养，在线申请请假、休假，打卡签到操作，实现任务导航功能等。</w:t>
                  </w:r>
                </w:p>
                <w:p>
                  <w:pPr>
                    <w:pStyle w:val="null3"/>
                    <w:jc w:val="left"/>
                  </w:pPr>
                  <w:r>
                    <w:rPr>
                      <w:rFonts w:ascii="仿宋_GB2312" w:hAnsi="仿宋_GB2312" w:cs="仿宋_GB2312" w:eastAsia="仿宋_GB2312"/>
                    </w:rPr>
                    <w:t>管理人员通过账号、口令登录，实现订单多级在线审批，单车任务跟踪、费用核实、调度日志查看。</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39"/>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运行维护服务</w:t>
                  </w:r>
                </w:p>
              </w:tc>
            </w:tr>
            <w:tr>
              <w:tc>
                <w:tcPr>
                  <w:tcW w:type="dxa" w:w="7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运维服务项目</w:t>
                  </w:r>
                </w:p>
              </w:tc>
              <w:tc>
                <w:tcPr>
                  <w:tcW w:type="dxa" w:w="145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要求指标或服务内容</w:t>
                  </w:r>
                </w:p>
              </w:tc>
              <w:tc>
                <w:tcPr>
                  <w:tcW w:type="dxa" w:w="1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数量</w:t>
                  </w:r>
                </w:p>
              </w:tc>
              <w:tc>
                <w:tcPr>
                  <w:tcW w:type="dxa" w:w="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单位</w:t>
                  </w:r>
                </w:p>
              </w:tc>
            </w:tr>
            <w:tr>
              <w:tc>
                <w:tcPr>
                  <w:tcW w:type="dxa" w:w="735"/>
                  <w:gridSpan w:val="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公务用车信息化管理服务平台维护</w:t>
                  </w:r>
                </w:p>
                <w:p>
                  <w:pPr>
                    <w:pStyle w:val="null3"/>
                    <w:jc w:val="center"/>
                  </w:pPr>
                </w:p>
              </w:tc>
              <w:tc>
                <w:tcPr>
                  <w:tcW w:type="dxa" w:w="1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1.软件运维</w:t>
                  </w:r>
                </w:p>
                <w:p>
                  <w:pPr>
                    <w:pStyle w:val="null3"/>
                    <w:ind w:firstLine="400"/>
                    <w:jc w:val="left"/>
                  </w:pPr>
                  <w:r>
                    <w:rPr>
                      <w:rFonts w:ascii="仿宋_GB2312" w:hAnsi="仿宋_GB2312" w:cs="仿宋_GB2312" w:eastAsia="仿宋_GB2312"/>
                    </w:rPr>
                    <w:t>为防止网络安全攻击对服务器、网络、数据库进行日常维护以及可能如设备、人员操作不当引起的数据损失或设备问题，保障数据的完整性和可用性，对数据库采用实时的增量备份，并进行每日凌晨的定期全量备份，数据备份文件压缩后存放于当地环境，并做好访问权限防护，也用于必要的数据恢复。</w:t>
                  </w:r>
                </w:p>
                <w:p>
                  <w:pPr>
                    <w:pStyle w:val="null3"/>
                    <w:ind w:firstLine="400"/>
                    <w:jc w:val="left"/>
                  </w:pPr>
                  <w:r>
                    <w:rPr>
                      <w:rFonts w:ascii="仿宋_GB2312" w:hAnsi="仿宋_GB2312" w:cs="仿宋_GB2312" w:eastAsia="仿宋_GB2312"/>
                    </w:rPr>
                    <w:t>在使用系统的过程中，针对公务用车管理服务特点，进行系统适配需求变更及系统升级。</w:t>
                  </w:r>
                </w:p>
                <w:p>
                  <w:pPr>
                    <w:pStyle w:val="null3"/>
                    <w:ind w:firstLine="400"/>
                    <w:jc w:val="left"/>
                  </w:pPr>
                  <w:r>
                    <w:rPr>
                      <w:rFonts w:ascii="仿宋_GB2312" w:hAnsi="仿宋_GB2312" w:cs="仿宋_GB2312" w:eastAsia="仿宋_GB2312"/>
                    </w:rPr>
                    <w:t>系统电脑端、</w:t>
                  </w:r>
                  <w:r>
                    <w:rPr>
                      <w:rFonts w:ascii="仿宋_GB2312" w:hAnsi="仿宋_GB2312" w:cs="仿宋_GB2312" w:eastAsia="仿宋_GB2312"/>
                    </w:rPr>
                    <w:t>APP端、小程序的不定期培训。</w:t>
                  </w:r>
                </w:p>
                <w:p>
                  <w:pPr>
                    <w:pStyle w:val="null3"/>
                    <w:ind w:firstLine="400"/>
                    <w:jc w:val="left"/>
                  </w:pPr>
                  <w:r>
                    <w:rPr>
                      <w:rFonts w:ascii="仿宋_GB2312" w:hAnsi="仿宋_GB2312" w:cs="仿宋_GB2312" w:eastAsia="仿宋_GB2312"/>
                    </w:rPr>
                    <w:t>提供手机、微信群、微信等多种渠道的售后服务，为各使用单位提供</w:t>
                  </w:r>
                  <w:r>
                    <w:rPr>
                      <w:rFonts w:ascii="仿宋_GB2312" w:hAnsi="仿宋_GB2312" w:cs="仿宋_GB2312" w:eastAsia="仿宋_GB2312"/>
                    </w:rPr>
                    <w:t>7×24小时服务。</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w:t>
                  </w:r>
                </w:p>
              </w:tc>
              <w:tc>
                <w:tcPr>
                  <w:tcW w:type="dxa" w:w="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项</w:t>
                  </w:r>
                </w:p>
              </w:tc>
            </w:tr>
            <w:tr>
              <w:tc>
                <w:tcPr>
                  <w:tcW w:type="dxa" w:w="735"/>
                  <w:gridSpan w:val="2"/>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2.硬件运维</w:t>
                  </w:r>
                </w:p>
                <w:p>
                  <w:pPr>
                    <w:pStyle w:val="null3"/>
                    <w:ind w:firstLine="400"/>
                    <w:jc w:val="left"/>
                  </w:pPr>
                  <w:r>
                    <w:rPr>
                      <w:rFonts w:ascii="仿宋_GB2312" w:hAnsi="仿宋_GB2312" w:cs="仿宋_GB2312" w:eastAsia="仿宋_GB2312"/>
                    </w:rPr>
                    <w:t>保障全县</w:t>
                  </w:r>
                  <w:r>
                    <w:rPr>
                      <w:rFonts w:ascii="仿宋_GB2312" w:hAnsi="仿宋_GB2312" w:cs="仿宋_GB2312" w:eastAsia="仿宋_GB2312"/>
                    </w:rPr>
                    <w:t>488台车辆北斗定位终端稳定运行，对终端设备进行调试、定期巡检、维护保养、改装、拆除、升级服务，定期进行北斗终端系统现场巡检及统计。</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w:t>
                  </w:r>
                </w:p>
              </w:tc>
              <w:tc>
                <w:tcPr>
                  <w:tcW w:type="dxa" w:w="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项</w:t>
                  </w:r>
                </w:p>
              </w:tc>
            </w:tr>
            <w:tr>
              <w:tc>
                <w:tcPr>
                  <w:tcW w:type="dxa" w:w="7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物联网</w:t>
                  </w:r>
                  <w:r>
                    <w:rPr>
                      <w:rFonts w:ascii="仿宋_GB2312" w:hAnsi="仿宋_GB2312" w:cs="仿宋_GB2312" w:eastAsia="仿宋_GB2312"/>
                    </w:rPr>
                    <w:t>SIM卡</w:t>
                  </w:r>
                </w:p>
                <w:p>
                  <w:pPr>
                    <w:pStyle w:val="null3"/>
                    <w:jc w:val="center"/>
                  </w:pPr>
                  <w:r>
                    <w:rPr>
                      <w:rFonts w:ascii="仿宋_GB2312" w:hAnsi="仿宋_GB2312" w:cs="仿宋_GB2312" w:eastAsia="仿宋_GB2312"/>
                    </w:rPr>
                    <w:t>流量</w:t>
                  </w:r>
                </w:p>
              </w:tc>
              <w:tc>
                <w:tcPr>
                  <w:tcW w:type="dxa" w:w="1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物联网卡移动数据通讯及流量，用于车辆定位、设备远程升级维护所有数据通讯</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488</w:t>
                  </w:r>
                </w:p>
              </w:tc>
              <w:tc>
                <w:tcPr>
                  <w:tcW w:type="dxa" w:w="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台</w:t>
                  </w:r>
                </w:p>
              </w:tc>
            </w:tr>
            <w:tr>
              <w:tc>
                <w:tcPr>
                  <w:tcW w:type="dxa" w:w="7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平台短信服务</w:t>
                  </w:r>
                </w:p>
              </w:tc>
              <w:tc>
                <w:tcPr>
                  <w:tcW w:type="dxa" w:w="1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10690专用通道短信；用于平台系统所有用车申请、审核、调度等短信通知，会议培训通知及相关报警事件触发提醒通知等。</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2</w:t>
                  </w:r>
                </w:p>
              </w:tc>
              <w:tc>
                <w:tcPr>
                  <w:tcW w:type="dxa" w:w="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年</w:t>
                  </w:r>
                </w:p>
              </w:tc>
            </w:tr>
            <w:tr>
              <w:tc>
                <w:tcPr>
                  <w:tcW w:type="dxa" w:w="7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平台云资源服</w:t>
                  </w:r>
                </w:p>
                <w:p>
                  <w:pPr>
                    <w:pStyle w:val="null3"/>
                    <w:jc w:val="center"/>
                  </w:pPr>
                  <w:r>
                    <w:rPr>
                      <w:rFonts w:ascii="仿宋_GB2312" w:hAnsi="仿宋_GB2312" w:cs="仿宋_GB2312" w:eastAsia="仿宋_GB2312"/>
                    </w:rPr>
                    <w:t>务</w:t>
                  </w:r>
                </w:p>
              </w:tc>
              <w:tc>
                <w:tcPr>
                  <w:tcW w:type="dxa" w:w="1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云服务器租赁：包括信息安全防护、防火墙、云服务主机、存储、网络带宽和数据灾备服务。</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2</w:t>
                  </w:r>
                </w:p>
              </w:tc>
              <w:tc>
                <w:tcPr>
                  <w:tcW w:type="dxa" w:w="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年</w:t>
                  </w:r>
                </w:p>
              </w:tc>
            </w:tr>
          </w:tbl>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项目团队建立完善，岗位职责明确，人员充足，确保项目有序运行。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2 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验收须以合同、磋商文件、响应文件、澄清、及国家相应的标准、规范等为依据。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合同签订后服务半年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服务一年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服务一年半</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中标后，须向采购代理机构提供纸质版响应文件一正两副，且提供的响应文件必须与在陕西省政府采购综合管理平台的项目电子化交易系统中递交的电子响应文件内容一致，纸质版响应文件必须装订成册签字盖章。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提供2024年度经审计的财务报告（成立时间至递交磋商响应文件文件截止时间不足一年的可提供成立后任意时段的财务报表）或其提交响应文件截止时间前3个月内银行出具的资信证明。 要求：（1）供应商是企业法人的，应提供2024全年度经审计的财务报告，包括 “四表一注”即《资产负债表》《利润表》《现金流量表》《所有者权益变动表》及其附注，或者提交响应文件截止时间前3个月内其基本账户开户银行出具的资信证明（附基本存款账户信息）；供应商是执行《小企业会计准则》的小微企业的，应提供2024全年度经审计的财务报告，至少包括 《资产负债表》《利润表》《现金流量表》及其附注，或者提交响应文件截止时间前3个月内其基本账户开户银行出具的资信证明（附基本存款账户信息）； （2）供应商是事业单位法人的，应提供2024全年度经审计的财务报告，至少包括《资产负债表》《收入支出表或者收入费用表》《财政补助收入支出表》及其附注，或者提交响应文件截止时间前3个月内其基本账户开户银行出具的资信证明（附基本存款账户信息）； （3）其他组织和自然人，提供提交响应文件截止时间前3个月内银行出具的资信证明（附账户信息）； （4）供应商成立不到1年（至提交响应文件截止时间）的，提供成立后任意时段的资产负债表，或提交响应文件截止时间前3个月内其基本账户开户银行出具的资信证明（附基本存款账户信息）。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（1）供应商的营业执照等证明文件，自然人的身份证明；(2) 法定代表人参加磋商的，提供本人身份证复印件；法定代表人授权他人参加磋商的，提供法定代表人委托授权书并出示被授权代表的身份证复印件；（3）提供2024年度经审计的财务报告（成立时间至递交磋商响应文件文件截止时间不足一年的可提供成立后任意时段的财务报表）或其提交响应文件截止时间前3个月内银行出具的资信证明。（4）税收缴纳证明：提供磋商响应文件截止时间前半年内任意一个月的纳税证明或完税证明，依法免税的单位应提供相关证明材料；（5）社会保障资金缴纳证明：提供磋商响应文件截止时间前半年内任意一个月的社会保障资金缴存单据或社保机构开具的社会保险参保缴费情况证明，依法不需要缴纳社会保障资金的单位应提供相关证明材料；（6）具备履行合同所必需的设备和专业技术能力的证明；(7)参加本次招标前3年内，在经营活动中没有重大违法记录的书面声明；（8）供应商未被“信用中国”网站列入失信被执行人、重大税收违法失信主体名单，未被“中国政府采购网”网站列入政府采购严重违法失信行为记录名单；（9）单位负责人为同一人或者存在直接控股、管理关系的不同供应商，不得参加同一合同项下的采购活动；（10）本项目不接受联合体磋商。</w:t>
            </w:r>
          </w:p>
        </w:tc>
        <w:tc>
          <w:tcPr>
            <w:tcW w:type="dxa" w:w="1661"/>
          </w:tcPr>
          <w:p>
            <w:pPr>
              <w:pStyle w:val="null3"/>
            </w:pPr>
            <w:r>
              <w:rPr>
                <w:rFonts w:ascii="仿宋_GB2312" w:hAnsi="仿宋_GB2312" w:cs="仿宋_GB2312" w:eastAsia="仿宋_GB2312"/>
              </w:rPr>
              <w:t>资格证明部分.docx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商务技术部分.docx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商务技术部分.docx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对项目的理解程度</w:t>
            </w:r>
          </w:p>
        </w:tc>
        <w:tc>
          <w:tcPr>
            <w:tcW w:type="dxa" w:w="2492"/>
          </w:tcPr>
          <w:p>
            <w:pPr>
              <w:pStyle w:val="null3"/>
            </w:pPr>
            <w:r>
              <w:rPr>
                <w:rFonts w:ascii="仿宋_GB2312" w:hAnsi="仿宋_GB2312" w:cs="仿宋_GB2312" w:eastAsia="仿宋_GB2312"/>
              </w:rPr>
              <w:t>一、评审内容： 供应商针对本项目的理解程度，内容包含：①项目背景、现状及应用需求②平台当前存在的问题、维保目标进行分析。 二、评审标准。 1、完整性：方案必须全面，对评审内容中的各项要求有详细描述； 2、可实施性：切合本项目实际情况，提出步骤清晰、合理的方案； 3、针对性：方案能够紧扣项目实际情况，内容科学合理。 三、赋分标准（满分6分）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总体维保方案</w:t>
            </w:r>
          </w:p>
        </w:tc>
        <w:tc>
          <w:tcPr>
            <w:tcW w:type="dxa" w:w="2492"/>
          </w:tcPr>
          <w:p>
            <w:pPr>
              <w:pStyle w:val="null3"/>
            </w:pPr>
            <w:r>
              <w:rPr>
                <w:rFonts w:ascii="仿宋_GB2312" w:hAnsi="仿宋_GB2312" w:cs="仿宋_GB2312" w:eastAsia="仿宋_GB2312"/>
              </w:rPr>
              <w:t>一、评审内容： 紧扣平台技术架构及业务场景，科学制定维保策略，提供周密的维保方案，方案内容需覆盖： ①系统模块及数据日常运维； ②系统安全管理； ③系统定期升级、维护方案； ④分析系统运行状况，查看系统日志，排查故障和进行性能优化，进行预防性检测和应急措施，。 二、评审标准： 1、完整性：方案必须全面，对评审内容中的各项要求有详细描述； 2、可实施性：切合本项目实际情况，提出步骤清晰、合理的方案； 3、针对性：方案能够紧扣项目实际情况，内容科学合理。 三、赋分标准（满分12分）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巡检方案</w:t>
            </w:r>
          </w:p>
        </w:tc>
        <w:tc>
          <w:tcPr>
            <w:tcW w:type="dxa" w:w="2492"/>
          </w:tcPr>
          <w:p>
            <w:pPr>
              <w:pStyle w:val="null3"/>
            </w:pPr>
            <w:r>
              <w:rPr>
                <w:rFonts w:ascii="仿宋_GB2312" w:hAnsi="仿宋_GB2312" w:cs="仿宋_GB2312" w:eastAsia="仿宋_GB2312"/>
              </w:rPr>
              <w:t>一、评审内容 ①提供巡检时间、巡检内容 + 故障预判方案，巡检应详细到日计划、周计划、月计划。 ②提供书面维护报告格式（至少包括日巡检表、周巡检表、月巡检表、自查报告。） 二、评审标准 1、完整性：方案必须全面，对评审内容中的各项要求有详细描述； 2、可实施性：切合本项目实际情况，提出步骤清晰、合理的方案； 3、针对性：方案能够紧扣项目实际情况，内容科学合理。 三、赋分标准（满分6分）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供应商针对本项目提供服务质量保障措施，内容包含：①质量保证措施、质量管理的组织架构和主要职责②服务承诺。 二、评审标准 1、完整性：方案必须全面，对评审内容中的各项要求有详细描述； 2、可实施性：切合本项目实际情况，提出步骤清晰、合理的方案； 3、针对性：方案能够紧扣项目实际情况，内容科学合理。 三、赋分标准（满分6分）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远程运维服务方案</w:t>
            </w:r>
          </w:p>
        </w:tc>
        <w:tc>
          <w:tcPr>
            <w:tcW w:type="dxa" w:w="2492"/>
          </w:tcPr>
          <w:p>
            <w:pPr>
              <w:pStyle w:val="null3"/>
            </w:pPr>
            <w:r>
              <w:rPr>
                <w:rFonts w:ascii="仿宋_GB2312" w:hAnsi="仿宋_GB2312" w:cs="仿宋_GB2312" w:eastAsia="仿宋_GB2312"/>
              </w:rPr>
              <w:t>一、评审内容 方案包括但不限于响应时间、响应流程、响应程度、解决问题能力、紧急故障处理预案等。具有协调性、及时性。 二、评审标准。 1、完整性：方案必须全面，对评审内容中的各项要求有详细描述； 2、可实施性：切合本项目实际情况，提出步骤清晰、合理的方案； 3、针对性：方案能够紧扣项目实际情况，内容科学合理。 三、赋分标准（满分6分） 每完全满足一个评审标准得2分，针对每条评审标准，如不完整或不符合实际要求或不满足实施要求或套用其他项目内容，得1分；针对每条评审标准，方案内容与本项目无关或未提供的，得0分。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终端设备维护方案</w:t>
            </w:r>
          </w:p>
        </w:tc>
        <w:tc>
          <w:tcPr>
            <w:tcW w:type="dxa" w:w="2492"/>
          </w:tcPr>
          <w:p>
            <w:pPr>
              <w:pStyle w:val="null3"/>
            </w:pPr>
            <w:r>
              <w:rPr>
                <w:rFonts w:ascii="仿宋_GB2312" w:hAnsi="仿宋_GB2312" w:cs="仿宋_GB2312" w:eastAsia="仿宋_GB2312"/>
              </w:rPr>
              <w:t>一、评审内容： 制定终端设备维护方案，维护周期合理，操作步骤明确。 二、评审标准： 1、完整性：方案必须全面，对评审内容中的各项要求有详细描述； 2、可实施性：切合本项目实际情况，提出步骤清晰、合理的方案； 3、针对性：方案能够紧扣项目实际情况，内容科学合理。 三、赋分标准（满分9分） 每完全满足一个评审标准得3分，针对每条评审标准，如不完整或不符合实际要求或不满足实施要求或套用其他项目内容，得1分；针对每条评审标准，方案内容与本项目无关或未提供的，得0分。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包括但不限于技术资料、商业秘密和商业信息、电子数据及现场管理的保密及应对措施等方面。 二、评审标准。 1、完整性：方案必须全面，对评审内容中的各项要求有详细描述； 2、可实施性：切合本项目实际情况，提出步骤清晰、合理的方案； 3、针对性：方案能够紧扣项目实际情况，内容科学合理。 三、赋分标准（满分6分） 每完全满足一个评审标准得2分，针对每条评审标准，如不完整或不符合实际要求或不满足实施要求或套用其他项目内容，得1分；针对每条评审标准，方案内容与本项目无关或未提供的，得0分。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提供详尽的培训方案，内容涵盖培训目的、培训地点及培训形式、培训对象、培训内容、培训流程与培训讲师。培训计划、人员、课时安排合理；不同用户群体分层培训。 二、评审标准。 1、完整性：方案必须全面，对评审内容中的各项要求有详细描述； 2、可实施性：切合本项目实际情况，提出步骤清晰、合理的方案； 3、针对性：方案能够紧扣项目实际情况，内容科学合理。 三、赋分标准（满分6分） 每完全满足一个评审标准得2分，针对每条评审标准，如不完整或不符合实际要求或不满足实施要求或套用其他项目内容，得1分；针对每条评审标准，方案内容与本项目无关或未提供的，得0分。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根据供应商提供针对本项目的售后服务方案进行评审： 1.售后服务方案详细，完全满足采购需求得5分； 2.售后服务方案较详细，基本满足采购需求得3分； 3.售后服务方案不详细，不能满足采购需求得1分；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供应商具有针对本项目的技术小组，提供周密的项目管理方案，具体包含人员配置、人员分工、项目组织架构及分工，提供人员名单。 1、项目人员专业性强，职责分工明确、结构安排合理，工作经验丰富，计10分； 2、项目人员专业性较强，职责分工较明确、结构安排基本合理，工作经验较丰富，计8分； 3、项目人员专业性一般，职责分工及结构安排一般，工作经验一般，计5分； 4、人员职责分工及结构安排混乱，工作经验欠缺，计2分。 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供应商能力认证</w:t>
            </w:r>
          </w:p>
        </w:tc>
        <w:tc>
          <w:tcPr>
            <w:tcW w:type="dxa" w:w="2492"/>
          </w:tcPr>
          <w:p>
            <w:pPr>
              <w:pStyle w:val="null3"/>
            </w:pPr>
            <w:r>
              <w:rPr>
                <w:rFonts w:ascii="仿宋_GB2312" w:hAnsi="仿宋_GB2312" w:cs="仿宋_GB2312" w:eastAsia="仿宋_GB2312"/>
              </w:rPr>
              <w:t>1.具有IT服务管理体系认证证书，须提供全国认证认可信息公共服务平台（国家市场监督管理总局）相关信息截图的得2分，没有不得分； 2.具有信息安全管理体系认证证书，须提供全国认证认可信息公共服务平台（国家市场监督管理总局)相关信息截图的得2分，没有不得分； 3.具有信息系统建设和服务能力等级证书（CS），得2分； 4.具有信息技术服务运行维护三级或以上标准符合性证书（ITSS），得2分。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提供2022年1月1日（以合同签订之日为准）以类似项目的业绩证明文件（即合同），评审时以业绩证明文件的复印件为计分依据，每出具一份项目业绩证明文件得2分，满分10分。 注：同一甲方业绩不重复得分，只计分一次。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1.经资格审查及符合性评审合格的磋商响应文件，其磋商报价有效； 2.满足磋商文件要求且最后提交价格最低的磋商报价为磋商基准价； 3.磋商报价得分=(磋商基准价／最后磋商报价)×10%×100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详见附件：商务技术部分.docx</w:t>
      </w:r>
    </w:p>
    <w:p>
      <w:pPr>
        <w:pStyle w:val="null3"/>
        <w:ind w:firstLine="960"/>
      </w:pPr>
      <w:r>
        <w:rPr>
          <w:rFonts w:ascii="仿宋_GB2312" w:hAnsi="仿宋_GB2312" w:cs="仿宋_GB2312" w:eastAsia="仿宋_GB2312"/>
        </w:rPr>
        <w:t>详见附件：资格证明部分.docx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