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版本号：ZHZB-2025(HW)-05420250930001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2025年第二批中省政法转移支付自定装备采购项目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ZHZB-2025(HW)-054</w:t>
      </w:r>
      <w:r>
        <w:br/>
      </w:r>
      <w:r>
        <w:br/>
      </w:r>
      <w:r>
        <w:br/>
      </w:r>
    </w:p>
    <w:p>
      <w:pPr>
        <w:pStyle w:val="null3"/>
        <w:jc w:val="center"/>
        <w:outlineLvl w:val="2"/>
      </w:pPr>
      <w:r>
        <w:rPr>
          <w:rFonts w:ascii="仿宋_GB2312" w:hAnsi="仿宋_GB2312" w:cs="仿宋_GB2312" w:eastAsia="仿宋_GB2312"/>
          <w:sz w:val="28"/>
          <w:b/>
        </w:rPr>
        <w:t>富平县人民法院（本级）</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富平县人民法院（本级）</w:t>
      </w:r>
      <w:r>
        <w:rPr>
          <w:rFonts w:ascii="仿宋_GB2312" w:hAnsi="仿宋_GB2312" w:cs="仿宋_GB2312" w:eastAsia="仿宋_GB2312"/>
        </w:rPr>
        <w:t>委托，拟对</w:t>
      </w:r>
      <w:r>
        <w:rPr>
          <w:rFonts w:ascii="仿宋_GB2312" w:hAnsi="仿宋_GB2312" w:cs="仿宋_GB2312" w:eastAsia="仿宋_GB2312"/>
        </w:rPr>
        <w:t>2025年第二批中省政法转移支付自定装备采购项目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ZHZB-2025(HW)-054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2025年第二批中省政法转移支付自定装备采购项目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满足办案需要，更好的保障审判执行工作，购置业务综合保障设备一批。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良好的商业信誉和健全的财务会计制度：2024年度经审计的财务报告或在2025年3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2025年3月1日至今任意时段的缴纳证明；供应商需在项目电子化交易系统中按要求上传相应证明文件并进行电子签章。</w:t>
      </w:r>
    </w:p>
    <w:p>
      <w:pPr>
        <w:pStyle w:val="null3"/>
      </w:pPr>
      <w:r>
        <w:rPr>
          <w:rFonts w:ascii="仿宋_GB2312" w:hAnsi="仿宋_GB2312" w:cs="仿宋_GB2312" w:eastAsia="仿宋_GB2312"/>
        </w:rPr>
        <w:t>4、书面声明：书面声明：①参加政府采购活动前三年内，在经营活动中没有重大违法记录的书面声明；②提供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供应商企业关系关联及联合体说明：本项目不接受联合体投标，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7、备注：备注：①以上为投标人必备资格要求，资格证明文件无效或缺项投标文件按无效文件处理；②分支机构参与投标时，须提供分支机构符合资格要求的证明文件；③书面声明、法定代表人身份证明和法定代表人授权委托书应按招标文件的要求填写，投标文件中必须附原件，其他资格证明文件提供复印件并加盖投标人公章；④依法免税或不需要缴纳社会保障资金的投标人须提供相应证明文件；事业单位法人可不提供财务状况报告和社会保障资金缴纳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富平县人民法院（本级）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富平县莲湖路84号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0913-8221338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 魏露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打印复印扫描一体机、A3黑白复合机、高速扫描仪</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打印复印扫描一体机、A3黑白复合机、高速扫描仪</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开户名称：陕西致恒招标代理有限公司</w:t>
            </w:r>
          </w:p>
          <w:p>
            <w:pPr>
              <w:pStyle w:val="null3"/>
            </w:pPr>
            <w:r>
              <w:rPr>
                <w:rFonts w:ascii="仿宋_GB2312" w:hAnsi="仿宋_GB2312" w:cs="仿宋_GB2312" w:eastAsia="仿宋_GB2312"/>
              </w:rPr>
              <w:t>开户银行：中国建设银行股份有限公司西安太华北路北段支行</w:t>
            </w:r>
          </w:p>
          <w:p>
            <w:pPr>
              <w:pStyle w:val="null3"/>
            </w:pPr>
            <w:r>
              <w:rPr>
                <w:rFonts w:ascii="仿宋_GB2312" w:hAnsi="仿宋_GB2312" w:cs="仿宋_GB2312" w:eastAsia="仿宋_GB2312"/>
              </w:rPr>
              <w:t>银行账号：61050110629600000259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以货物收费标准计算向陕西致恒招标代理有限公司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富平县人民法院（本级）</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富平县人民法院（本级）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富平县人民法院（本级）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联系人：屈彤 魏露</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满足办案需要，更好的保障审判执行工作，购置业务综合保障设备一批。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业务综合保障设备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标的名称：业务综合保障设备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outlineLvl w:val="0"/>
            </w:pPr>
            <w:r>
              <w:rPr>
                <w:rFonts w:ascii="仿宋_GB2312" w:hAnsi="仿宋_GB2312" w:cs="仿宋_GB2312" w:eastAsia="仿宋_GB2312"/>
                <w:sz w:val="36"/>
                <w:b/>
              </w:rPr>
              <w:t>第一部分</w:t>
            </w:r>
            <w:r>
              <w:rPr>
                <w:rFonts w:ascii="仿宋_GB2312" w:hAnsi="仿宋_GB2312" w:cs="仿宋_GB2312" w:eastAsia="仿宋_GB2312"/>
                <w:sz w:val="36"/>
                <w:b/>
              </w:rPr>
              <w:t>采购内容及技术要求</w:t>
            </w:r>
          </w:p>
          <w:p>
            <w:pPr>
              <w:pStyle w:val="null3"/>
              <w:jc w:val="both"/>
            </w:pPr>
            <w:r>
              <w:rPr>
                <w:rFonts w:ascii="仿宋_GB2312" w:hAnsi="仿宋_GB2312" w:cs="仿宋_GB2312" w:eastAsia="仿宋_GB2312"/>
                <w:sz w:val="28"/>
                <w:b/>
              </w:rPr>
              <w:t>一、采购内容</w:t>
            </w:r>
          </w:p>
          <w:tbl>
            <w:tblPr>
              <w:tblBorders>
                <w:top w:val="none" w:color="000000" w:sz="4"/>
                <w:left w:val="none" w:color="000000" w:sz="4"/>
                <w:bottom w:val="none" w:color="000000" w:sz="4"/>
                <w:right w:val="none" w:color="000000" w:sz="4"/>
                <w:insideH w:val="none"/>
                <w:insideV w:val="none"/>
              </w:tblBorders>
            </w:tblPr>
            <w:tblGrid>
              <w:gridCol w:w="849"/>
              <w:gridCol w:w="849"/>
              <w:gridCol w:w="849"/>
            </w:tblGrid>
            <w:tr>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w:t>
                  </w:r>
                  <w:r>
                    <w:rPr>
                      <w:rFonts w:ascii="仿宋_GB2312" w:hAnsi="仿宋_GB2312" w:cs="仿宋_GB2312" w:eastAsia="仿宋_GB2312"/>
                      <w:sz w:val="24"/>
                      <w:b/>
                    </w:rPr>
                    <w:t>单位</w:t>
                  </w:r>
                  <w:r>
                    <w:rPr>
                      <w:rFonts w:ascii="仿宋_GB2312" w:hAnsi="仿宋_GB2312" w:cs="仿宋_GB2312" w:eastAsia="仿宋_GB2312"/>
                      <w:sz w:val="24"/>
                      <w:b/>
                    </w:rPr>
                    <w:t>）</w:t>
                  </w:r>
                </w:p>
              </w:tc>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打印复印扫描</w:t>
                  </w:r>
                  <w:r>
                    <w:rPr>
                      <w:rFonts w:ascii="仿宋_GB2312" w:hAnsi="仿宋_GB2312" w:cs="仿宋_GB2312" w:eastAsia="仿宋_GB2312"/>
                      <w:sz w:val="24"/>
                    </w:rPr>
                    <w:t>一体机</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150台</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A3黑白复合机</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w:t>
                  </w:r>
                  <w:r>
                    <w:rPr>
                      <w:rFonts w:ascii="仿宋_GB2312" w:hAnsi="仿宋_GB2312" w:cs="仿宋_GB2312" w:eastAsia="仿宋_GB2312"/>
                      <w:sz w:val="24"/>
                    </w:rPr>
                    <w:t>扫描仪</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48台</w:t>
                  </w:r>
                </w:p>
              </w:tc>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bl>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货物需求一览表及技术规格</w:t>
            </w:r>
          </w:p>
          <w:tbl>
            <w:tblPr>
              <w:tblBorders>
                <w:top w:val="none" w:color="000000" w:sz="4"/>
                <w:left w:val="none" w:color="000000" w:sz="4"/>
                <w:bottom w:val="none" w:color="000000" w:sz="4"/>
                <w:right w:val="none" w:color="000000" w:sz="4"/>
                <w:insideH w:val="none"/>
                <w:insideV w:val="none"/>
              </w:tblBorders>
            </w:tblPr>
            <w:tblGrid>
              <w:gridCol w:w="206"/>
              <w:gridCol w:w="488"/>
              <w:gridCol w:w="1850"/>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技术参数或要求</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打印复印扫描</w:t>
                  </w:r>
                  <w:r>
                    <w:rPr>
                      <w:rFonts w:ascii="仿宋_GB2312" w:hAnsi="仿宋_GB2312" w:cs="仿宋_GB2312" w:eastAsia="仿宋_GB2312"/>
                      <w:sz w:val="24"/>
                    </w:rPr>
                    <w:t>一体机</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A4幅面；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打印、复印、扫描一体机，要求国产化设备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国产主控</w:t>
                  </w:r>
                  <w:r>
                    <w:rPr>
                      <w:rFonts w:ascii="仿宋_GB2312" w:hAnsi="仿宋_GB2312" w:cs="仿宋_GB2312" w:eastAsia="仿宋_GB2312"/>
                      <w:sz w:val="24"/>
                    </w:rPr>
                    <w:t>SoC,处理器主频≥1GHz；</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内存</w:t>
                  </w:r>
                  <w:r>
                    <w:rPr>
                      <w:rFonts w:ascii="仿宋_GB2312" w:hAnsi="仿宋_GB2312" w:cs="仿宋_GB2312" w:eastAsia="仿宋_GB2312"/>
                      <w:sz w:val="24"/>
                    </w:rPr>
                    <w:t>≥512MB；</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打印速度</w:t>
                  </w:r>
                  <w:r>
                    <w:rPr>
                      <w:rFonts w:ascii="仿宋_GB2312" w:hAnsi="仿宋_GB2312" w:cs="仿宋_GB2312" w:eastAsia="仿宋_GB2312"/>
                      <w:sz w:val="24"/>
                    </w:rPr>
                    <w:t>≥</w:t>
                  </w:r>
                  <w:r>
                    <w:rPr>
                      <w:rFonts w:ascii="仿宋_GB2312" w:hAnsi="仿宋_GB2312" w:cs="仿宋_GB2312" w:eastAsia="仿宋_GB2312"/>
                      <w:sz w:val="24"/>
                    </w:rPr>
                    <w:t>33</w:t>
                  </w:r>
                  <w:r>
                    <w:rPr>
                      <w:rFonts w:ascii="仿宋_GB2312" w:hAnsi="仿宋_GB2312" w:cs="仿宋_GB2312" w:eastAsia="仿宋_GB2312"/>
                      <w:sz w:val="24"/>
                    </w:rPr>
                    <w:t>页</w:t>
                  </w:r>
                  <w:r>
                    <w:rPr>
                      <w:rFonts w:ascii="仿宋_GB2312" w:hAnsi="仿宋_GB2312" w:cs="仿宋_GB2312" w:eastAsia="仿宋_GB2312"/>
                      <w:sz w:val="24"/>
                    </w:rPr>
                    <w:t>/分钟；</w:t>
                  </w:r>
                </w:p>
                <w:p>
                  <w:pPr>
                    <w:pStyle w:val="null3"/>
                    <w:jc w:val="both"/>
                  </w:pPr>
                  <w:r>
                    <w:rPr>
                      <w:rFonts w:ascii="仿宋_GB2312" w:hAnsi="仿宋_GB2312" w:cs="仿宋_GB2312" w:eastAsia="仿宋_GB2312"/>
                      <w:sz w:val="24"/>
                    </w:rPr>
                    <w:t>7.ADF纸盒输入≥50页</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标配纸盒容量</w:t>
                  </w:r>
                  <w:r>
                    <w:rPr>
                      <w:rFonts w:ascii="仿宋_GB2312" w:hAnsi="仿宋_GB2312" w:cs="仿宋_GB2312" w:eastAsia="仿宋_GB2312"/>
                      <w:sz w:val="24"/>
                    </w:rPr>
                    <w:t>≥250页；</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鼓粉分离耗材模式；</w:t>
                  </w:r>
                </w:p>
                <w:p>
                  <w:pPr>
                    <w:pStyle w:val="null3"/>
                    <w:jc w:val="both"/>
                  </w:pPr>
                  <w:r>
                    <w:rPr>
                      <w:rFonts w:ascii="仿宋_GB2312" w:hAnsi="仿宋_GB2312" w:cs="仿宋_GB2312" w:eastAsia="仿宋_GB2312"/>
                      <w:sz w:val="24"/>
                    </w:rPr>
                    <w:t>10.打印分辨率≥1200dpi*1200dpi；</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支持</w:t>
                  </w:r>
                  <w:r>
                    <w:rPr>
                      <w:rFonts w:ascii="仿宋_GB2312" w:hAnsi="仿宋_GB2312" w:cs="仿宋_GB2312" w:eastAsia="仿宋_GB2312"/>
                      <w:sz w:val="24"/>
                    </w:rPr>
                    <w:t>Windows和Linux国产操作系统，如统信、麒麟、中科方德操作系统。</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A3黑白复合机</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A3幅面；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打印、复印、扫描三合一；要求国产化设备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处理器主频</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GHz；</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GB；</w:t>
                  </w:r>
                </w:p>
                <w:p>
                  <w:pPr>
                    <w:pStyle w:val="null3"/>
                    <w:jc w:val="both"/>
                  </w:pPr>
                  <w:r>
                    <w:rPr>
                      <w:rFonts w:ascii="仿宋_GB2312" w:hAnsi="仿宋_GB2312" w:cs="仿宋_GB2312" w:eastAsia="仿宋_GB2312"/>
                      <w:sz w:val="24"/>
                    </w:rPr>
                    <w:t>5.彩色液晶触摸面板</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英寸；</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打印速度</w:t>
                  </w: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页</w:t>
                  </w:r>
                  <w:r>
                    <w:rPr>
                      <w:rFonts w:ascii="仿宋_GB2312" w:hAnsi="仿宋_GB2312" w:cs="仿宋_GB2312" w:eastAsia="仿宋_GB2312"/>
                      <w:sz w:val="24"/>
                    </w:rPr>
                    <w:t>/分钟；</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复印速度</w:t>
                  </w: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页</w:t>
                  </w:r>
                  <w:r>
                    <w:rPr>
                      <w:rFonts w:ascii="仿宋_GB2312" w:hAnsi="仿宋_GB2312" w:cs="仿宋_GB2312" w:eastAsia="仿宋_GB2312"/>
                      <w:sz w:val="24"/>
                    </w:rPr>
                    <w:t>/分钟；</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扫描速度</w:t>
                  </w:r>
                  <w:r>
                    <w:rPr>
                      <w:rFonts w:ascii="仿宋_GB2312" w:hAnsi="仿宋_GB2312" w:cs="仿宋_GB2312" w:eastAsia="仿宋_GB2312"/>
                      <w:sz w:val="24"/>
                    </w:rPr>
                    <w:t>≥50页/分钟；</w:t>
                  </w:r>
                </w:p>
                <w:p>
                  <w:pPr>
                    <w:pStyle w:val="null3"/>
                    <w:jc w:val="both"/>
                  </w:pPr>
                  <w:r>
                    <w:rPr>
                      <w:rFonts w:ascii="仿宋_GB2312" w:hAnsi="仿宋_GB2312" w:cs="仿宋_GB2312" w:eastAsia="仿宋_GB2312"/>
                      <w:sz w:val="24"/>
                    </w:rPr>
                    <w:t>9.打印分辨率≥1200dpi*1200dpi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10.标配双纸盒，纸盒容量≥1100页；</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鼓粉分离耗材模式；</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支持加装小册子装订器；</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支持</w:t>
                  </w:r>
                  <w:r>
                    <w:rPr>
                      <w:rFonts w:ascii="仿宋_GB2312" w:hAnsi="仿宋_GB2312" w:cs="仿宋_GB2312" w:eastAsia="仿宋_GB2312"/>
                      <w:sz w:val="24"/>
                    </w:rPr>
                    <w:t>Windows和Linux国产操作系统，如统信、麒麟、中科方德操作系统。</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w:t>
                  </w:r>
                  <w:r>
                    <w:rPr>
                      <w:rFonts w:ascii="仿宋_GB2312" w:hAnsi="仿宋_GB2312" w:cs="仿宋_GB2312" w:eastAsia="仿宋_GB2312"/>
                      <w:sz w:val="24"/>
                    </w:rPr>
                    <w:t>扫描仪</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A4幅面，国产化自动馈纸式扫描；</w:t>
                  </w:r>
                </w:p>
                <w:p>
                  <w:pPr>
                    <w:pStyle w:val="null3"/>
                    <w:jc w:val="both"/>
                  </w:pPr>
                  <w:r>
                    <w:rPr>
                      <w:rFonts w:ascii="仿宋_GB2312" w:hAnsi="仿宋_GB2312" w:cs="仿宋_GB2312" w:eastAsia="仿宋_GB2312"/>
                      <w:sz w:val="24"/>
                    </w:rPr>
                    <w:t>2.支持国产主控芯片；</w:t>
                  </w:r>
                </w:p>
                <w:p>
                  <w:pPr>
                    <w:pStyle w:val="null3"/>
                    <w:jc w:val="both"/>
                  </w:pPr>
                  <w:r>
                    <w:rPr>
                      <w:rFonts w:ascii="仿宋_GB2312" w:hAnsi="仿宋_GB2312" w:cs="仿宋_GB2312" w:eastAsia="仿宋_GB2312"/>
                      <w:sz w:val="24"/>
                    </w:rPr>
                    <w:t>3.主频≥1GHz；ADF容量≥100页；</w:t>
                  </w:r>
                </w:p>
                <w:p>
                  <w:pPr>
                    <w:pStyle w:val="null3"/>
                    <w:jc w:val="both"/>
                  </w:pPr>
                  <w:r>
                    <w:rPr>
                      <w:rFonts w:ascii="仿宋_GB2312" w:hAnsi="仿宋_GB2312" w:cs="仿宋_GB2312" w:eastAsia="仿宋_GB2312"/>
                      <w:sz w:val="24"/>
                    </w:rPr>
                    <w:t>4.单面扫描速度≥65页/分钟；双面扫描速度≥130面/分钟；</w:t>
                  </w:r>
                </w:p>
                <w:p>
                  <w:pPr>
                    <w:pStyle w:val="null3"/>
                    <w:jc w:val="both"/>
                  </w:pPr>
                  <w:r>
                    <w:rPr>
                      <w:rFonts w:ascii="仿宋_GB2312" w:hAnsi="仿宋_GB2312" w:cs="仿宋_GB2312" w:eastAsia="仿宋_GB2312"/>
                      <w:sz w:val="24"/>
                    </w:rPr>
                    <w:t>5.内存</w:t>
                  </w:r>
                  <w:r>
                    <w:rPr>
                      <w:rFonts w:ascii="仿宋_GB2312" w:hAnsi="仿宋_GB2312" w:cs="仿宋_GB2312" w:eastAsia="仿宋_GB2312"/>
                      <w:sz w:val="24"/>
                    </w:rPr>
                    <w:t>≥</w:t>
                  </w:r>
                  <w:r>
                    <w:rPr>
                      <w:rFonts w:ascii="仿宋_GB2312" w:hAnsi="仿宋_GB2312" w:cs="仿宋_GB2312" w:eastAsia="仿宋_GB2312"/>
                      <w:sz w:val="24"/>
                    </w:rPr>
                    <w:t>512MB；</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300*300dpi；</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Windows和Linux国产操作系统，如统信、麒麟、中科方德操作系统。</w:t>
                  </w:r>
                </w:p>
              </w:tc>
            </w:tr>
          </w:tbl>
          <w:p>
            <w:pPr>
              <w:pStyle w:val="null3"/>
              <w:jc w:val="both"/>
            </w:pPr>
            <w:r>
              <w:rPr>
                <w:rFonts w:ascii="仿宋_GB2312" w:hAnsi="仿宋_GB2312" w:cs="仿宋_GB2312" w:eastAsia="仿宋_GB2312"/>
                <w:sz w:val="24"/>
                <w:color w:val="000000"/>
              </w:rPr>
              <w:t>注：以上产品需提供原厂售后服务承诺函。</w:t>
            </w:r>
          </w:p>
          <w:p>
            <w:pPr>
              <w:pStyle w:val="null3"/>
              <w:jc w:val="center"/>
              <w:outlineLvl w:val="0"/>
            </w:pPr>
            <w:r>
              <w:rPr>
                <w:rFonts w:ascii="仿宋_GB2312" w:hAnsi="仿宋_GB2312" w:cs="仿宋_GB2312" w:eastAsia="仿宋_GB2312"/>
                <w:sz w:val="36"/>
                <w:b/>
                <w:color w:val="000000"/>
              </w:rPr>
              <w:t>第二部分</w:t>
            </w:r>
            <w:r>
              <w:rPr>
                <w:rFonts w:ascii="仿宋_GB2312" w:hAnsi="仿宋_GB2312" w:cs="仿宋_GB2312" w:eastAsia="仿宋_GB2312"/>
                <w:sz w:val="36"/>
                <w:b/>
                <w:color w:val="000000"/>
              </w:rPr>
              <w:t>★商务要求</w:t>
            </w:r>
          </w:p>
          <w:p>
            <w:pPr>
              <w:pStyle w:val="null3"/>
              <w:ind w:firstLine="482"/>
              <w:jc w:val="both"/>
            </w:pPr>
            <w:r>
              <w:rPr>
                <w:rFonts w:ascii="仿宋_GB2312" w:hAnsi="仿宋_GB2312" w:cs="仿宋_GB2312" w:eastAsia="仿宋_GB2312"/>
                <w:sz w:val="24"/>
                <w:b/>
                <w:color w:val="000000"/>
              </w:rPr>
              <w:t>一、合同履行期限、交货地点：</w:t>
            </w:r>
          </w:p>
          <w:p>
            <w:pPr>
              <w:pStyle w:val="null3"/>
              <w:ind w:firstLine="600"/>
              <w:jc w:val="both"/>
            </w:pPr>
            <w:r>
              <w:rPr>
                <w:rFonts w:ascii="仿宋_GB2312" w:hAnsi="仿宋_GB2312" w:cs="仿宋_GB2312" w:eastAsia="仿宋_GB2312"/>
                <w:sz w:val="24"/>
                <w:color w:val="000000"/>
              </w:rPr>
              <w:t>合同履行期限：</w:t>
            </w:r>
            <w:r>
              <w:rPr>
                <w:rFonts w:ascii="仿宋_GB2312" w:hAnsi="仿宋_GB2312" w:cs="仿宋_GB2312" w:eastAsia="仿宋_GB2312"/>
                <w:sz w:val="24"/>
                <w:b/>
                <w:color w:val="000000"/>
              </w:rPr>
              <w:t>合同签订后</w:t>
            </w:r>
            <w:r>
              <w:rPr>
                <w:rFonts w:ascii="仿宋_GB2312" w:hAnsi="仿宋_GB2312" w:cs="仿宋_GB2312" w:eastAsia="仿宋_GB2312"/>
                <w:sz w:val="24"/>
                <w:b/>
                <w:color w:val="000000"/>
              </w:rPr>
              <w:t>15天内安装调试完毕</w:t>
            </w:r>
          </w:p>
          <w:p>
            <w:pPr>
              <w:pStyle w:val="null3"/>
              <w:ind w:firstLine="600"/>
              <w:jc w:val="both"/>
            </w:pPr>
            <w:r>
              <w:rPr>
                <w:rFonts w:ascii="仿宋_GB2312" w:hAnsi="仿宋_GB2312" w:cs="仿宋_GB2312" w:eastAsia="仿宋_GB2312"/>
                <w:sz w:val="24"/>
                <w:color w:val="000000"/>
              </w:rPr>
              <w:t>交货地点：富平县内，采购人指定地点。</w:t>
            </w:r>
          </w:p>
          <w:p>
            <w:pPr>
              <w:pStyle w:val="null3"/>
              <w:ind w:firstLine="482"/>
              <w:jc w:val="both"/>
            </w:pPr>
            <w:r>
              <w:rPr>
                <w:rFonts w:ascii="仿宋_GB2312" w:hAnsi="仿宋_GB2312" w:cs="仿宋_GB2312" w:eastAsia="仿宋_GB2312"/>
                <w:sz w:val="24"/>
                <w:b/>
                <w:color w:val="000000"/>
              </w:rPr>
              <w:t>二、安装、调试及培训要求：</w:t>
            </w:r>
          </w:p>
          <w:p>
            <w:pPr>
              <w:pStyle w:val="null3"/>
              <w:ind w:firstLine="590"/>
              <w:jc w:val="both"/>
            </w:pPr>
            <w:r>
              <w:rPr>
                <w:rFonts w:ascii="仿宋_GB2312" w:hAnsi="仿宋_GB2312" w:cs="仿宋_GB2312" w:eastAsia="仿宋_GB2312"/>
                <w:sz w:val="24"/>
                <w:color w:val="000000"/>
              </w:rPr>
              <w:t>1.包装：应采取防潮、防晒、防腐蚀、防震动及防止其它损坏的必要措施。 中标单位应承担由于其包装或防护措施不妥而引起的货物锈蚀、损坏和丢失等任何损失造成的责任或费用。确保设备包装符合国家运输标准，确保设备在运输过程中不受损坏。</w:t>
            </w:r>
          </w:p>
          <w:p>
            <w:pPr>
              <w:pStyle w:val="null3"/>
              <w:ind w:firstLine="590"/>
              <w:jc w:val="both"/>
            </w:pPr>
            <w:r>
              <w:rPr>
                <w:rFonts w:ascii="仿宋_GB2312" w:hAnsi="仿宋_GB2312" w:cs="仿宋_GB2312" w:eastAsia="仿宋_GB2312"/>
                <w:sz w:val="24"/>
                <w:color w:val="000000"/>
              </w:rPr>
              <w:t>2.运输：选择安全、可靠的运输方式，确保设备按时、完好地送达指定地点。运杂费一次包死在总价内，包括生产厂到现场所需的装卸、运输（含保险费）、现场保管费、二次倒运费、吊装费等费用。</w:t>
            </w:r>
          </w:p>
          <w:p>
            <w:pPr>
              <w:pStyle w:val="null3"/>
              <w:ind w:firstLine="590"/>
              <w:jc w:val="both"/>
            </w:pPr>
            <w:r>
              <w:rPr>
                <w:rFonts w:ascii="仿宋_GB2312" w:hAnsi="仿宋_GB2312" w:cs="仿宋_GB2312" w:eastAsia="仿宋_GB2312"/>
                <w:sz w:val="24"/>
                <w:color w:val="000000"/>
              </w:rPr>
              <w:t>3.安装、调试及培训：中标单位负责所有设备的安装、调试、培训工作，所有费用一次包死在总价内。设备安装调试完毕后，中标单位必须安排技术人员对使用单位的设备管理人员进行操作应用及维护保养方面的技能培训，使其掌握基本技能。</w:t>
            </w:r>
          </w:p>
          <w:p>
            <w:pPr>
              <w:pStyle w:val="null3"/>
              <w:ind w:firstLine="482"/>
              <w:jc w:val="both"/>
            </w:pPr>
            <w:r>
              <w:rPr>
                <w:rFonts w:ascii="仿宋_GB2312" w:hAnsi="仿宋_GB2312" w:cs="仿宋_GB2312" w:eastAsia="仿宋_GB2312"/>
                <w:sz w:val="24"/>
                <w:b/>
                <w:color w:val="000000"/>
              </w:rPr>
              <w:t>三、付款方式：</w:t>
            </w:r>
            <w:r>
              <w:rPr>
                <w:rFonts w:ascii="仿宋_GB2312" w:hAnsi="仿宋_GB2312" w:cs="仿宋_GB2312" w:eastAsia="仿宋_GB2312"/>
                <w:sz w:val="24"/>
                <w:color w:val="000000"/>
              </w:rPr>
              <w:t>合同签订后，待设备安装调试完毕，经终验合格后</w:t>
            </w:r>
            <w:r>
              <w:rPr>
                <w:rFonts w:ascii="仿宋_GB2312" w:hAnsi="仿宋_GB2312" w:cs="仿宋_GB2312" w:eastAsia="仿宋_GB2312"/>
                <w:sz w:val="24"/>
                <w:color w:val="000000"/>
              </w:rPr>
              <w:t>60天内一次付清合同款项。</w:t>
            </w:r>
          </w:p>
          <w:p>
            <w:pPr>
              <w:pStyle w:val="null3"/>
              <w:ind w:firstLine="482"/>
              <w:jc w:val="both"/>
            </w:pPr>
            <w:r>
              <w:rPr>
                <w:rFonts w:ascii="仿宋_GB2312" w:hAnsi="仿宋_GB2312" w:cs="仿宋_GB2312" w:eastAsia="仿宋_GB2312"/>
                <w:sz w:val="24"/>
                <w:b/>
                <w:color w:val="000000"/>
              </w:rPr>
              <w:t>四、质量保证：</w:t>
            </w:r>
          </w:p>
          <w:p>
            <w:pPr>
              <w:pStyle w:val="null3"/>
              <w:ind w:firstLine="482"/>
              <w:jc w:val="both"/>
            </w:pPr>
            <w:r>
              <w:rPr>
                <w:rFonts w:ascii="仿宋_GB2312" w:hAnsi="仿宋_GB2312" w:cs="仿宋_GB2312" w:eastAsia="仿宋_GB2312"/>
                <w:sz w:val="24"/>
                <w:b/>
                <w:color w:val="000000"/>
              </w:rPr>
              <w:t>1.本项目</w:t>
            </w:r>
            <w:r>
              <w:rPr>
                <w:rFonts w:ascii="仿宋_GB2312" w:hAnsi="仿宋_GB2312" w:cs="仿宋_GB2312" w:eastAsia="仿宋_GB2312"/>
                <w:sz w:val="24"/>
                <w:color w:val="000000"/>
              </w:rPr>
              <w:t>产品全套质保</w:t>
            </w:r>
            <w:r>
              <w:rPr>
                <w:rFonts w:ascii="仿宋_GB2312" w:hAnsi="仿宋_GB2312" w:cs="仿宋_GB2312" w:eastAsia="仿宋_GB2312"/>
                <w:sz w:val="24"/>
                <w:color w:val="000000"/>
              </w:rPr>
              <w:t>≥</w:t>
            </w:r>
            <w:r>
              <w:rPr>
                <w:rFonts w:ascii="仿宋_GB2312" w:hAnsi="仿宋_GB2312" w:cs="仿宋_GB2312" w:eastAsia="仿宋_GB2312"/>
                <w:sz w:val="24"/>
                <w:color w:val="000000"/>
                <w:u w:val="single"/>
              </w:rPr>
              <w:t xml:space="preserve"> 1 </w:t>
            </w:r>
            <w:r>
              <w:rPr>
                <w:rFonts w:ascii="仿宋_GB2312" w:hAnsi="仿宋_GB2312" w:cs="仿宋_GB2312" w:eastAsia="仿宋_GB2312"/>
                <w:sz w:val="24"/>
                <w:color w:val="000000"/>
              </w:rPr>
              <w:t>年；（若供应商承诺的质保时间超过招标文件要求的，按其承诺时间质保。执行其响应时间，若国家有明确规定且高于此质保期的，执行国家规定）。</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color w:val="000000"/>
              </w:rPr>
              <w:t>供应商提供的产品及材料必须保证质量可靠，进货渠道正常，配置合理齐全，应全面满足招标文件的要求，招标文件未明确要求的内容，供应商须按产品主流标准配置或以采购人的补充要求为准。所供产品工艺质量应严格按国家最新发布的规范标准执行，如发生质量问题由供应商承担全部责任。采购人使用产品过程中因产品质量、产品缺陷及安装质量等造成人身伤亡、财产损失的，由供应商负责解决并承担全部责任。</w:t>
            </w:r>
          </w:p>
          <w:p>
            <w:pPr>
              <w:pStyle w:val="null3"/>
              <w:ind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color w:val="000000"/>
              </w:rPr>
              <w:t>免费维修或更换缺陷的货物或部件期限：设备出现故障时，卖方必须在接到故障报告后在</w:t>
            </w:r>
            <w:r>
              <w:rPr>
                <w:rFonts w:ascii="仿宋_GB2312" w:hAnsi="仿宋_GB2312" w:cs="仿宋_GB2312" w:eastAsia="仿宋_GB2312"/>
                <w:sz w:val="24"/>
                <w:color w:val="000000"/>
              </w:rPr>
              <w:t>2小时内派维修工程师到达现场，排除故障的期限不得超过12小时，否则卖方需提供备用机供使用；。</w:t>
            </w:r>
          </w:p>
          <w:p>
            <w:pPr>
              <w:pStyle w:val="null3"/>
              <w:ind w:firstLine="482"/>
              <w:jc w:val="both"/>
            </w:pPr>
            <w:r>
              <w:rPr>
                <w:rFonts w:ascii="仿宋_GB2312" w:hAnsi="仿宋_GB2312" w:cs="仿宋_GB2312" w:eastAsia="仿宋_GB2312"/>
                <w:sz w:val="24"/>
                <w:b/>
                <w:color w:val="000000"/>
              </w:rPr>
              <w:t>4.</w:t>
            </w:r>
            <w:r>
              <w:rPr>
                <w:rFonts w:ascii="仿宋_GB2312" w:hAnsi="仿宋_GB2312" w:cs="仿宋_GB2312" w:eastAsia="仿宋_GB2312"/>
                <w:sz w:val="24"/>
                <w:color w:val="000000"/>
              </w:rPr>
              <w:t>服务方式：现场服务，产品按照国家三包规定执行，提供终身技术支持。在质保期内，如果发生故障，供应商要调查故障原因，由供应商提供的产品出现的问题，供应商须免费修复直至满足最终验收指标和性能。</w:t>
            </w:r>
          </w:p>
          <w:p>
            <w:pPr>
              <w:pStyle w:val="null3"/>
              <w:ind w:firstLine="482"/>
              <w:jc w:val="both"/>
            </w:pPr>
            <w:r>
              <w:rPr>
                <w:rFonts w:ascii="仿宋_GB2312" w:hAnsi="仿宋_GB2312" w:cs="仿宋_GB2312" w:eastAsia="仿宋_GB2312"/>
                <w:sz w:val="24"/>
                <w:b/>
                <w:color w:val="000000"/>
              </w:rPr>
              <w:t>5.</w:t>
            </w:r>
            <w:r>
              <w:rPr>
                <w:rFonts w:ascii="仿宋_GB2312" w:hAnsi="仿宋_GB2312" w:cs="仿宋_GB2312" w:eastAsia="仿宋_GB2312"/>
                <w:sz w:val="24"/>
                <w:color w:val="000000"/>
              </w:rPr>
              <w:t>在最终验收后的质量保证期内，供应商应对设计、工艺或材料等的缺陷而产生的故障负责（负责解决并承担全部费用）。质保期满后如出现此类问题亦应负责。</w:t>
            </w:r>
          </w:p>
          <w:p>
            <w:pPr>
              <w:pStyle w:val="null3"/>
              <w:ind w:firstLine="482"/>
              <w:jc w:val="both"/>
            </w:pPr>
            <w:r>
              <w:rPr>
                <w:rFonts w:ascii="仿宋_GB2312" w:hAnsi="仿宋_GB2312" w:cs="仿宋_GB2312" w:eastAsia="仿宋_GB2312"/>
                <w:sz w:val="24"/>
                <w:b/>
                <w:color w:val="000000"/>
              </w:rPr>
              <w:t>五、合同实施：</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color w:val="000000"/>
              </w:rPr>
              <w:t>中标单位应在合同签订后</w:t>
            </w:r>
            <w:r>
              <w:rPr>
                <w:rFonts w:ascii="仿宋_GB2312" w:hAnsi="仿宋_GB2312" w:cs="仿宋_GB2312" w:eastAsia="仿宋_GB2312"/>
                <w:sz w:val="24"/>
                <w:color w:val="000000"/>
              </w:rPr>
              <w:t>7个日历日内安排人员（项目组成人员简历表所列）与采购人就送货、安装、调试、培训等工作进行安排、部署。</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color w:val="000000"/>
              </w:rPr>
              <w:t>若未能在交货期内完成合同规定的义务，由此对采购方造成的延误和一切损失，由中标单位承担和赔偿。</w:t>
            </w:r>
          </w:p>
          <w:p>
            <w:pPr>
              <w:pStyle w:val="null3"/>
              <w:ind w:firstLine="482"/>
              <w:jc w:val="both"/>
            </w:pPr>
            <w:r>
              <w:rPr>
                <w:rFonts w:ascii="仿宋_GB2312" w:hAnsi="仿宋_GB2312" w:cs="仿宋_GB2312" w:eastAsia="仿宋_GB2312"/>
                <w:sz w:val="24"/>
                <w:b/>
                <w:color w:val="000000"/>
              </w:rPr>
              <w:t>六、项目验收：</w:t>
            </w:r>
          </w:p>
          <w:p>
            <w:pPr>
              <w:pStyle w:val="null3"/>
              <w:ind w:firstLine="480"/>
              <w:jc w:val="both"/>
            </w:pPr>
            <w:r>
              <w:rPr>
                <w:rFonts w:ascii="仿宋_GB2312" w:hAnsi="仿宋_GB2312" w:cs="仿宋_GB2312" w:eastAsia="仿宋_GB2312"/>
                <w:sz w:val="24"/>
                <w:color w:val="000000"/>
              </w:rPr>
              <w:t>1.项目验收</w:t>
            </w:r>
          </w:p>
          <w:p>
            <w:pPr>
              <w:pStyle w:val="null3"/>
              <w:ind w:firstLine="480"/>
              <w:jc w:val="both"/>
            </w:pPr>
            <w:r>
              <w:rPr>
                <w:rFonts w:ascii="仿宋_GB2312" w:hAnsi="仿宋_GB2312" w:cs="仿宋_GB2312" w:eastAsia="仿宋_GB2312"/>
                <w:sz w:val="24"/>
                <w:color w:val="000000"/>
              </w:rPr>
              <w:t>初验：货物到达交货地点后，由使用单位根据合同对货物（设备）的名称、品牌、规格、型号、产地、数量进行检查，所有货物</w:t>
            </w:r>
            <w:r>
              <w:rPr>
                <w:rFonts w:ascii="仿宋_GB2312" w:hAnsi="仿宋_GB2312" w:cs="仿宋_GB2312" w:eastAsia="仿宋_GB2312"/>
                <w:sz w:val="24"/>
                <w:color w:val="000000"/>
              </w:rPr>
              <w:t>(设备)安装、调试完毕，可以正常使用；由采购方进行终验（最终验收），合格后签发《终验合格单》。</w:t>
            </w:r>
          </w:p>
          <w:p>
            <w:pPr>
              <w:pStyle w:val="null3"/>
              <w:ind w:firstLine="480"/>
              <w:jc w:val="both"/>
            </w:pPr>
            <w:r>
              <w:rPr>
                <w:rFonts w:ascii="仿宋_GB2312" w:hAnsi="仿宋_GB2312" w:cs="仿宋_GB2312" w:eastAsia="仿宋_GB2312"/>
                <w:sz w:val="24"/>
                <w:color w:val="000000"/>
              </w:rPr>
              <w:t>2.验收不合格的货物，必须在接到通知后7个日历日内确保货物通过验收。如接到通知后7个日历日内验收仍不合格，采购方可提出索赔或取消其供货合同。</w:t>
            </w:r>
          </w:p>
          <w:p>
            <w:pPr>
              <w:pStyle w:val="null3"/>
              <w:ind w:firstLine="480"/>
              <w:jc w:val="both"/>
            </w:pPr>
            <w:r>
              <w:rPr>
                <w:rFonts w:ascii="仿宋_GB2312" w:hAnsi="仿宋_GB2312" w:cs="仿宋_GB2312" w:eastAsia="仿宋_GB2312"/>
                <w:sz w:val="24"/>
                <w:color w:val="000000"/>
              </w:rPr>
              <w:t>3.验收依据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1）合同文本及合同补充文件（条款）；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2）产品的合法来源渠道证明文件、响应功能证明材料；</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3）招标文件；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4）中标单位的投标文件；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5）货物清单；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6）生产厂家的企业资质、货物的执行标准。</w:t>
            </w:r>
          </w:p>
          <w:p>
            <w:pPr>
              <w:pStyle w:val="null3"/>
              <w:ind w:firstLine="480"/>
              <w:jc w:val="both"/>
            </w:pPr>
            <w:r>
              <w:rPr>
                <w:rFonts w:ascii="仿宋_GB2312" w:hAnsi="仿宋_GB2312" w:cs="仿宋_GB2312" w:eastAsia="仿宋_GB2312"/>
                <w:sz w:val="24"/>
                <w:color w:val="000000"/>
              </w:rPr>
              <w:t>4、验收所产生的费用由中标单位支付。</w:t>
            </w:r>
          </w:p>
          <w:p>
            <w:pPr>
              <w:pStyle w:val="null3"/>
              <w:ind w:firstLine="482"/>
              <w:jc w:val="both"/>
            </w:pPr>
            <w:r>
              <w:rPr>
                <w:rFonts w:ascii="仿宋_GB2312" w:hAnsi="仿宋_GB2312" w:cs="仿宋_GB2312" w:eastAsia="仿宋_GB2312"/>
                <w:sz w:val="24"/>
                <w:b/>
                <w:color w:val="000000"/>
              </w:rPr>
              <w:t>七、违约责任：</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color w:val="000000"/>
              </w:rPr>
              <w:t>按《中华人民共和国民法典》中的相关条款执行；</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color w:val="000000"/>
              </w:rPr>
              <w:t>乙方未能按期履行合同或乙方未按合同要求提供货物或货物质量不能满足甲方要求，甲方有权单方面解除合同，乙方除应返还甲方已支付的款项外，还应承担本合同总金额</w:t>
            </w:r>
            <w:r>
              <w:rPr>
                <w:rFonts w:ascii="仿宋_GB2312" w:hAnsi="仿宋_GB2312" w:cs="仿宋_GB2312" w:eastAsia="仿宋_GB2312"/>
                <w:sz w:val="24"/>
                <w:color w:val="000000"/>
              </w:rPr>
              <w:t>20%的违约金，违约金不足以弥补损失的，乙方应予补足；</w:t>
            </w:r>
          </w:p>
          <w:p>
            <w:pPr>
              <w:pStyle w:val="null3"/>
              <w:ind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color w:val="000000"/>
              </w:rPr>
              <w:t>交货期每逾期一天，乙方应向甲方支付合同总价款的</w:t>
            </w:r>
            <w:r>
              <w:rPr>
                <w:rFonts w:ascii="仿宋_GB2312" w:hAnsi="仿宋_GB2312" w:cs="仿宋_GB2312" w:eastAsia="仿宋_GB2312"/>
                <w:sz w:val="24"/>
                <w:color w:val="000000"/>
              </w:rPr>
              <w:t>5‰违约金。逾期超过15日的，甲方有权单方面解除本合同，乙方除退还甲方已支付全部费用外还应按照合同总价的20%向甲方支付违约金。违约金不足以弥补损失的，乙方应予以补足。</w:t>
            </w:r>
          </w:p>
          <w:p>
            <w:pPr>
              <w:pStyle w:val="null3"/>
              <w:ind w:firstLine="482"/>
              <w:jc w:val="both"/>
            </w:pPr>
            <w:r>
              <w:rPr>
                <w:rFonts w:ascii="仿宋_GB2312" w:hAnsi="仿宋_GB2312" w:cs="仿宋_GB2312" w:eastAsia="仿宋_GB2312"/>
                <w:sz w:val="24"/>
                <w:b/>
                <w:color w:val="000000"/>
              </w:rPr>
              <w:t>4.</w:t>
            </w:r>
            <w:r>
              <w:rPr>
                <w:rFonts w:ascii="仿宋_GB2312" w:hAnsi="仿宋_GB2312" w:cs="仿宋_GB2312" w:eastAsia="仿宋_GB2312"/>
                <w:sz w:val="24"/>
                <w:color w:val="000000"/>
              </w:rPr>
              <w:t>未按合同要求提供产品或设备质量不能满足技术要求，采购方有权终止合同，并对中标单位违约行为进行追究，同时按《政府采购法》的有关规定进行处罚。</w:t>
            </w:r>
          </w:p>
          <w:p>
            <w:pPr>
              <w:pStyle w:val="null3"/>
              <w:ind w:firstLine="482"/>
              <w:jc w:val="both"/>
            </w:pPr>
            <w:r>
              <w:rPr>
                <w:rFonts w:ascii="仿宋_GB2312" w:hAnsi="仿宋_GB2312" w:cs="仿宋_GB2312" w:eastAsia="仿宋_GB2312"/>
                <w:sz w:val="24"/>
                <w:b/>
                <w:color w:val="000000"/>
              </w:rPr>
              <w:t>注：商务要求为实质性要求，不得负偏离。</w:t>
            </w:r>
          </w:p>
          <w:p>
            <w:pPr>
              <w:pStyle w:val="null3"/>
              <w:jc w:val="center"/>
              <w:outlineLvl w:val="0"/>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合同签订后15天内安装调试完毕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富平县内，采购人指定地点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合同签订后，待设备安装调试完毕，经终验合格后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本项目产品全套质保≥ 1 年；（若供应商承诺的质保时间超过招标文件要求的，按其承诺时间质保。执行其响应时间，若国家有明确规定且高于此质保期的，执行国家规定）。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为顺利推进政府采购电子化交易平台应用工作，中标供应商在中标后须提交响应文件正本壹套、副本叁套。若电子响应文件与纸质响应文件不一致的，以电子响应文件为准。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3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有依法缴纳税收和社会保障资金的良好记录：提供2025年3月1日至今任意时段的缴纳证明；供应商需在项目电子化交易系统中按要求上传相应证明文件并进行电子签章。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①参加政府采购活动前三年内，在经营活动中没有重大违法记录的书面声明；②提供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投标，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备注：①以上为投标人必备资格要求，资格证明文件无效或缺项投标文件按无效文件处理；②分支机构参与投标时，须提供分支机构符合资格要求的证明文件；③书面声明、法定代表人身份证明和法定代表人授权委托书应按招标文件的要求填写，投标文件中必须附原件，其他资格证明文件提供复印件并加盖投标人公章；④依法免税或不需要缴纳社会保障资金的投标人须提供相应证明文件；事业单位法人可不提供财务状况报告和社会保障资金缴纳证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投标文件语言及有效期是否符合招标文件要求</w:t>
            </w:r>
          </w:p>
        </w:tc>
        <w:tc>
          <w:tcPr>
            <w:tcW w:type="dxa" w:w="1661"/>
          </w:tcPr>
          <w:p>
            <w:pPr>
              <w:pStyle w:val="null3"/>
            </w:pPr>
            <w:r>
              <w:rPr>
                <w:rFonts w:ascii="仿宋_GB2312" w:hAnsi="仿宋_GB2312" w:cs="仿宋_GB2312" w:eastAsia="仿宋_GB2312"/>
              </w:rPr>
              <w:t>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投标函 投标函.docx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投标文件是否符合招标文件签字、盖章要求</w:t>
            </w:r>
          </w:p>
        </w:tc>
        <w:tc>
          <w:tcPr>
            <w:tcW w:type="dxa" w:w="1661"/>
          </w:tcPr>
          <w:p>
            <w:pPr>
              <w:pStyle w:val="null3"/>
            </w:pPr>
            <w:r>
              <w:rPr>
                <w:rFonts w:ascii="仿宋_GB2312" w:hAnsi="仿宋_GB2312" w:cs="仿宋_GB2312" w:eastAsia="仿宋_GB2312"/>
              </w:rPr>
              <w:t>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投标文件是否符合下列要求： （1）投标报价符合唯一性要求；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投标分项报价表.docx 投标函 投标函.docx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提供保证金转账凭证或财政部门认可的政府采购专业担保机构出具的投标担保函是否符合招标文件要求</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无其他招标文件规定响应无效的事项</w:t>
            </w:r>
          </w:p>
        </w:tc>
        <w:tc>
          <w:tcPr>
            <w:tcW w:type="dxa" w:w="3322"/>
          </w:tcPr>
          <w:p>
            <w:pPr>
              <w:pStyle w:val="null3"/>
            </w:pPr>
            <w:r>
              <w:rPr>
                <w:rFonts w:ascii="仿宋_GB2312" w:hAnsi="仿宋_GB2312" w:cs="仿宋_GB2312" w:eastAsia="仿宋_GB2312"/>
              </w:rPr>
              <w:t>要求全面响应，符合招标文件相关要求；不能有任何采购人不能接受的附加条件。</w:t>
            </w:r>
          </w:p>
        </w:tc>
        <w:tc>
          <w:tcPr>
            <w:tcW w:type="dxa" w:w="1661"/>
          </w:tcPr>
          <w:p>
            <w:pPr>
              <w:pStyle w:val="null3"/>
            </w:pPr>
            <w:r>
              <w:rPr>
                <w:rFonts w:ascii="仿宋_GB2312" w:hAnsi="仿宋_GB2312" w:cs="仿宋_GB2312" w:eastAsia="仿宋_GB2312"/>
              </w:rPr>
              <w:t>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法规明确规定响应无效的事项</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完全理解并接受法律法规和招标文件对供应商的各项须知、规约要求和责任义务，没有出现法律法规或招标文件明确规定的其他被视为“无效投标”的情形。</w:t>
            </w:r>
          </w:p>
        </w:tc>
        <w:tc>
          <w:tcPr>
            <w:tcW w:type="dxa" w:w="1661"/>
          </w:tcPr>
          <w:p>
            <w:pPr>
              <w:pStyle w:val="null3"/>
            </w:pPr>
            <w:r>
              <w:rPr>
                <w:rFonts w:ascii="仿宋_GB2312" w:hAnsi="仿宋_GB2312" w:cs="仿宋_GB2312" w:eastAsia="仿宋_GB2312"/>
              </w:rPr>
              <w:t>开标一览表 投标方案.docx 中小企业声明函 商务条款响应偏离表.docx 资格证明文件.docx 技术规格响应偏离表.docx 投标分项报价表.docx 投标函 投标函.docx 残疾人福利性单位声明函 拒绝政府采购领域商业贿赂承诺书.docx 标的清单 投标文件封面 供应商认为有必要补充说明的事宜.docx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技术参数明确配置齐全、功能满足招标文件要求，对产品逐条进行明确响应。其中：技术指标响应全部满足得基础分14分，每出现一项负偏离扣1分，扣完为止； 备注：所有技术参数均需要提供证明资料（包括但不限于产品白皮书、产品彩页、官网功能截图等证明文件，如未提供相关证明材料，则该项参数按负偏离对待，按上述规定相应扣分）。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产品进货渠道正常，提供拟投产品来源渠道合法的证明文件（包括但不限于销售协议、代理协议、原厂授权等），所提供的产品来源渠证明文件齐全完整得3分，未提供或提供不完整不得分。供应商若为生产厂家本项得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一、评审内容 供应商须针对本项目提供①质量管理及保证措施、②质量控制方案、③质量管理体系方案、④安装、调试质量保证措施。 二、评审标准 1.完整性：方案必须全面，对评审内容中的各项要求有详细描述； 2.可实施性：切合本项目实际情况，提出步骤清晰、满足需求的方案。 3.针对性：方案能够紧扣项目实际情况，内容科学合理。 三、赋分标准（满分12分） ①质量管理及保证措施：每完全满足一个评审标准得1分，满分3分。 ②质量控制方案：每完全满足一个评审标准得1分，满分3分。 ③质量管理体系方案：每完全满足一个评审标准得1分，满分3分。 ④安装、调试质量保证措施：每完全满足一个评审标准得1分，满分3分。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供应商须针对本项目提供①产品运输派送、②实施节点把控、③安装调试验收方案。 二、评审标准 1.完整性：方案必须全面，对评审内容中的各项要求有详细描述； 2.可实施性：切合本项目实际情况，提出步骤清晰、满足需求的方案。 3.针对性：方案能够紧扣项目实际情况，内容科学合理。 三、赋分标准（满分9分） ①产品运输派送：每完全满足一个评审标准得1分，满分3分。 ②实施节点把控：每完全满足一个评审标准得1分，满分3分。 ③安装调试验收方案：每完全满足一个评审标准得1分，满分3分。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人员配置及责任制度</w:t>
            </w:r>
          </w:p>
        </w:tc>
        <w:tc>
          <w:tcPr>
            <w:tcW w:type="dxa" w:w="2492"/>
          </w:tcPr>
          <w:p>
            <w:pPr>
              <w:pStyle w:val="null3"/>
            </w:pPr>
            <w:r>
              <w:rPr>
                <w:rFonts w:ascii="仿宋_GB2312" w:hAnsi="仿宋_GB2312" w:cs="仿宋_GB2312" w:eastAsia="仿宋_GB2312"/>
              </w:rPr>
              <w:t>供应商针对本次采购任务拟投入本项目的人员配置及责任制度，根据响应情况计0-4分。 人员配备齐全（例如运输派送、安装调试、培训、售后等人员）、专业性强、责任制度清晰、职责划分明确，具备4人以上得1.1-4分； 人员配备不够齐全、职责划分不够明确，人员不足4人的得0-1分。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供应商须针对本项目提供①售后服务内容、②售后服务机构信息、③售后应急响应方案。 二、评审标准 1.完整性：方案必须全面，对评审内容中的各项要求有详细描述； 2.可实施性：切合本项目实际情况，提出步骤清晰、满足需求的方案。 3.针对性：方案能够紧扣项目实际情况，内容科学合理。 三、赋分标准（满分9分） ①售后服务内容：每完全满足一个评审标准得1分，满分3分。 ②售后服务机构信息：每完全满足一个评审标准得1分，满分3分。 ③售后应急响应方案：每完全满足一个评审标准得1分，满分3分。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供应商须针对本项目提供①设备主要部件的构造培训，②日常使用操作、保养与维护、简单故障的排除，③紧急情况的处理。 二、评审标准 1.完整性：方案必须全面，对评审内容中的各项要求有详细描述； 2.可实施性：切合本项目实际情况，提出步骤清晰、满足需求的方案。 3.针对性：方案能够紧扣项目实际情况，内容科学合理。 三、赋分标准（满9分） ①设备主要部件的构造培训：每完全满足一个评审标准得1分，满分3分。 ②日常使用操作、保养与维护、简单故障的排除培训：每完全满足一个评审标准得1分，满分3分。 ③紧急情况的处理培训：每完全满足一个评审标准得1分，满分3分。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供应商需提供2022年1月至今类似项目业绩（以合同签订日期为准，供应商所提供合同必须有签订日期），每提供一个计2分，满分8分。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投标产品中为节能产品经国家认证的得1分，为环境标志产品经国家认证的得1分，最多得2分。 注：以经国家确定的认证机构出具的、处于有效期内的节能产品、环境标志产品认证证书为准。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投标报价得分=（评标基准价/投标报价）×价格权值。 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投标函.docx</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投标分项报价表.docx 投标函 投标函.docx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详见附件：投标函.docx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