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18292">
      <w:pPr>
        <w:pStyle w:val="3"/>
        <w:spacing w:before="0" w:after="0" w:line="360" w:lineRule="auto"/>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拟签订</w:t>
      </w:r>
      <w:r>
        <w:rPr>
          <w:rFonts w:hint="eastAsia" w:ascii="宋体" w:hAnsi="宋体" w:cs="宋体"/>
          <w:color w:val="000000" w:themeColor="text1"/>
          <w:highlight w:val="none"/>
          <w14:textFill>
            <w14:solidFill>
              <w14:schemeClr w14:val="tx1"/>
            </w14:solidFill>
          </w14:textFill>
        </w:rPr>
        <w:t>合同条款</w:t>
      </w:r>
    </w:p>
    <w:p w14:paraId="0D636576">
      <w:pPr>
        <w:keepNext w:val="0"/>
        <w:keepLines w:val="0"/>
        <w:pageBreakBefore w:val="0"/>
        <w:widowControl w:val="0"/>
        <w:numPr>
          <w:ilvl w:val="0"/>
          <w:numId w:val="0"/>
        </w:numPr>
        <w:kinsoku/>
        <w:wordWrap/>
        <w:overflowPunct/>
        <w:topLinePunct w:val="0"/>
        <w:autoSpaceDE/>
        <w:autoSpaceDN/>
        <w:bidi w:val="0"/>
        <w:snapToGrid/>
        <w:spacing w:line="500" w:lineRule="exact"/>
        <w:ind w:leftChars="0"/>
        <w:jc w:val="center"/>
        <w:textAlignment w:val="auto"/>
        <w:rPr>
          <w:rFonts w:hint="eastAsia" w:ascii="宋体" w:hAnsi="宋体" w:eastAsia="宋体" w:cs="宋体"/>
          <w:color w:val="auto"/>
          <w:sz w:val="24"/>
          <w:u w:val="single"/>
          <w:lang w:val="en-US" w:eastAsia="zh-CN"/>
        </w:rPr>
      </w:pPr>
      <w:bookmarkStart w:id="0" w:name="_Toc3995"/>
      <w:bookmarkStart w:id="1" w:name="_Toc8333"/>
      <w:bookmarkStart w:id="2" w:name="_Toc19246"/>
      <w:bookmarkStart w:id="3" w:name="_Toc426457696"/>
      <w:bookmarkStart w:id="4" w:name="_Toc8954"/>
      <w:bookmarkStart w:id="5" w:name="_Toc389582037"/>
      <w:bookmarkStart w:id="6" w:name="_Toc9053"/>
      <w:bookmarkStart w:id="7" w:name="_Toc26595"/>
      <w:bookmarkStart w:id="8" w:name="_Toc19199"/>
      <w:bookmarkStart w:id="9" w:name="_Toc29888"/>
      <w:bookmarkStart w:id="10" w:name="_Toc31520"/>
      <w:bookmarkStart w:id="11" w:name="_Toc31683"/>
      <w:bookmarkStart w:id="12" w:name="_Toc20230"/>
      <w:r>
        <w:rPr>
          <w:rFonts w:hint="eastAsia" w:ascii="宋体" w:hAnsi="宋体" w:eastAsia="宋体" w:cs="宋体"/>
          <w:b/>
          <w:bCs w:val="0"/>
          <w:kern w:val="44"/>
          <w:sz w:val="28"/>
          <w:szCs w:val="28"/>
          <w:lang w:val="en-US" w:eastAsia="zh-CN" w:bidi="ar-SA"/>
        </w:rPr>
        <w:t>（此合同为参考合同，具体以甲乙双方协商为准）</w:t>
      </w:r>
    </w:p>
    <w:p w14:paraId="0C2B74AB">
      <w:pPr>
        <w:pStyle w:val="2"/>
        <w:spacing w:line="360" w:lineRule="auto"/>
        <w:jc w:val="center"/>
        <w:rPr>
          <w:rFonts w:ascii="宋体" w:hAnsi="宋体" w:cs="宋体"/>
          <w:b/>
          <w:bCs/>
          <w:color w:val="000000" w:themeColor="text1"/>
          <w:spacing w:val="-20"/>
          <w:kern w:val="44"/>
          <w:sz w:val="48"/>
          <w:szCs w:val="48"/>
          <w:highlight w:val="none"/>
          <w14:textFill>
            <w14:solidFill>
              <w14:schemeClr w14:val="tx1"/>
            </w14:solidFill>
          </w14:textFill>
        </w:rPr>
      </w:pPr>
    </w:p>
    <w:bookmarkEnd w:id="0"/>
    <w:p w14:paraId="495B2734">
      <w:pPr>
        <w:spacing w:line="360" w:lineRule="auto"/>
        <w:jc w:val="center"/>
        <w:rPr>
          <w:rFonts w:hint="eastAsia" w:ascii="宋体" w:hAnsi="宋体" w:eastAsia="宋体" w:cs="宋体"/>
          <w:b/>
          <w:color w:val="000000" w:themeColor="text1"/>
          <w:sz w:val="22"/>
          <w:szCs w:val="22"/>
          <w:highlight w:val="none"/>
          <w:lang w:eastAsia="zh-CN"/>
          <w14:textFill>
            <w14:solidFill>
              <w14:schemeClr w14:val="tx1"/>
            </w14:solidFill>
          </w14:textFill>
        </w:rPr>
      </w:pPr>
      <w:r>
        <w:rPr>
          <w:rFonts w:hint="eastAsia" w:ascii="宋体" w:hAnsi="宋体" w:cs="宋体"/>
          <w:b/>
          <w:color w:val="000000" w:themeColor="text1"/>
          <w:sz w:val="44"/>
          <w:szCs w:val="44"/>
          <w:highlight w:val="none"/>
          <w:lang w:eastAsia="zh-CN"/>
          <w14:textFill>
            <w14:solidFill>
              <w14:schemeClr w14:val="tx1"/>
            </w14:solidFill>
          </w14:textFill>
        </w:rPr>
        <w:t>2025年第二批中省政法转移支付自定装备采购项目</w:t>
      </w:r>
    </w:p>
    <w:p w14:paraId="48FBC949">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7E65D5B9">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04A99BB6">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02164606">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29A9290E">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23C5231A">
      <w:pPr>
        <w:spacing w:line="360" w:lineRule="auto"/>
        <w:jc w:val="center"/>
        <w:rPr>
          <w:rFonts w:ascii="宋体" w:hAnsi="宋体" w:cs="宋体"/>
          <w:b/>
          <w:color w:val="000000" w:themeColor="text1"/>
          <w:sz w:val="52"/>
          <w:szCs w:val="52"/>
          <w:highlight w:val="none"/>
          <w14:textFill>
            <w14:solidFill>
              <w14:schemeClr w14:val="tx1"/>
            </w14:solidFill>
          </w14:textFill>
        </w:rPr>
      </w:pPr>
      <w:r>
        <w:rPr>
          <w:rFonts w:hint="eastAsia" w:ascii="宋体" w:hAnsi="宋体" w:cs="宋体"/>
          <w:b/>
          <w:color w:val="000000" w:themeColor="text1"/>
          <w:sz w:val="52"/>
          <w:szCs w:val="52"/>
          <w:highlight w:val="none"/>
          <w14:textFill>
            <w14:solidFill>
              <w14:schemeClr w14:val="tx1"/>
            </w14:solidFill>
          </w14:textFill>
        </w:rPr>
        <w:t>合</w:t>
      </w:r>
    </w:p>
    <w:p w14:paraId="5CE070E3">
      <w:pPr>
        <w:spacing w:line="360" w:lineRule="auto"/>
        <w:jc w:val="center"/>
        <w:rPr>
          <w:rFonts w:ascii="宋体" w:hAnsi="宋体" w:cs="宋体"/>
          <w:b/>
          <w:color w:val="000000" w:themeColor="text1"/>
          <w:sz w:val="52"/>
          <w:szCs w:val="52"/>
          <w:highlight w:val="none"/>
          <w14:textFill>
            <w14:solidFill>
              <w14:schemeClr w14:val="tx1"/>
            </w14:solidFill>
          </w14:textFill>
        </w:rPr>
      </w:pPr>
      <w:r>
        <w:rPr>
          <w:rFonts w:hint="eastAsia" w:ascii="宋体" w:hAnsi="宋体" w:cs="宋体"/>
          <w:b/>
          <w:color w:val="000000" w:themeColor="text1"/>
          <w:sz w:val="52"/>
          <w:szCs w:val="52"/>
          <w:highlight w:val="none"/>
          <w14:textFill>
            <w14:solidFill>
              <w14:schemeClr w14:val="tx1"/>
            </w14:solidFill>
          </w14:textFill>
        </w:rPr>
        <w:t>同</w:t>
      </w:r>
    </w:p>
    <w:p w14:paraId="2957A981">
      <w:pPr>
        <w:spacing w:line="360" w:lineRule="auto"/>
        <w:jc w:val="center"/>
        <w:rPr>
          <w:rFonts w:ascii="宋体" w:hAnsi="宋体" w:cs="宋体"/>
          <w:b/>
          <w:color w:val="000000" w:themeColor="text1"/>
          <w:sz w:val="44"/>
          <w:szCs w:val="44"/>
          <w:highlight w:val="none"/>
          <w14:textFill>
            <w14:solidFill>
              <w14:schemeClr w14:val="tx1"/>
            </w14:solidFill>
          </w14:textFill>
        </w:rPr>
      </w:pPr>
      <w:r>
        <w:rPr>
          <w:rFonts w:hint="eastAsia" w:ascii="宋体" w:hAnsi="宋体" w:cs="宋体"/>
          <w:b/>
          <w:color w:val="000000" w:themeColor="text1"/>
          <w:sz w:val="52"/>
          <w:szCs w:val="52"/>
          <w:highlight w:val="none"/>
          <w14:textFill>
            <w14:solidFill>
              <w14:schemeClr w14:val="tx1"/>
            </w14:solidFill>
          </w14:textFill>
        </w:rPr>
        <w:t>书</w:t>
      </w:r>
    </w:p>
    <w:p w14:paraId="230E8911">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7FAD046C">
      <w:pPr>
        <w:spacing w:line="360" w:lineRule="auto"/>
        <w:jc w:val="center"/>
        <w:rPr>
          <w:rFonts w:ascii="宋体" w:hAnsi="宋体" w:cs="宋体"/>
          <w:b/>
          <w:color w:val="000000" w:themeColor="text1"/>
          <w:sz w:val="28"/>
          <w:szCs w:val="28"/>
          <w:highlight w:val="none"/>
          <w14:textFill>
            <w14:solidFill>
              <w14:schemeClr w14:val="tx1"/>
            </w14:solidFill>
          </w14:textFill>
        </w:rPr>
      </w:pPr>
    </w:p>
    <w:p w14:paraId="1FF3BA20">
      <w:pPr>
        <w:adjustRightInd w:val="0"/>
        <w:snapToGrid w:val="0"/>
        <w:spacing w:line="360" w:lineRule="auto"/>
        <w:jc w:val="left"/>
        <w:rPr>
          <w:rFonts w:ascii="Arial" w:cs="Arial"/>
          <w:b/>
          <w:color w:val="000000" w:themeColor="text1"/>
          <w:sz w:val="28"/>
          <w:szCs w:val="21"/>
          <w:highlight w:val="none"/>
          <w14:textFill>
            <w14:solidFill>
              <w14:schemeClr w14:val="tx1"/>
            </w14:solidFill>
          </w14:textFill>
        </w:rPr>
      </w:pPr>
    </w:p>
    <w:p w14:paraId="5A8F6F18">
      <w:pPr>
        <w:adjustRightInd w:val="0"/>
        <w:snapToGrid w:val="0"/>
        <w:spacing w:line="360" w:lineRule="auto"/>
        <w:jc w:val="left"/>
        <w:rPr>
          <w:rFonts w:ascii="Arial" w:cs="Arial"/>
          <w:b/>
          <w:color w:val="000000" w:themeColor="text1"/>
          <w:sz w:val="28"/>
          <w:szCs w:val="21"/>
          <w:highlight w:val="none"/>
          <w14:textFill>
            <w14:solidFill>
              <w14:schemeClr w14:val="tx1"/>
            </w14:solidFill>
          </w14:textFill>
        </w:rPr>
      </w:pPr>
    </w:p>
    <w:p w14:paraId="4BA5C376">
      <w:pPr>
        <w:adjustRightInd w:val="0"/>
        <w:snapToGrid w:val="0"/>
        <w:spacing w:line="360" w:lineRule="auto"/>
        <w:jc w:val="left"/>
        <w:rPr>
          <w:rFonts w:ascii="Arial" w:cs="Arial"/>
          <w:b/>
          <w:color w:val="000000" w:themeColor="text1"/>
          <w:sz w:val="28"/>
          <w:szCs w:val="21"/>
          <w:highlight w:val="none"/>
          <w14:textFill>
            <w14:solidFill>
              <w14:schemeClr w14:val="tx1"/>
            </w14:solidFill>
          </w14:textFill>
        </w:rPr>
      </w:pPr>
    </w:p>
    <w:p w14:paraId="3148543E">
      <w:pPr>
        <w:spacing w:line="360" w:lineRule="auto"/>
        <w:ind w:firstLine="2108" w:firstLineChars="750"/>
        <w:jc w:val="left"/>
        <w:rPr>
          <w:rFonts w:ascii="宋体" w:hAnsi="宋体" w:cs="宋体"/>
          <w:b/>
          <w:color w:val="000000" w:themeColor="text1"/>
          <w:sz w:val="28"/>
          <w:szCs w:val="28"/>
          <w:highlight w:val="none"/>
          <w:u w:val="singl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 xml:space="preserve">甲    方：  </w:t>
      </w:r>
      <w:r>
        <w:rPr>
          <w:rFonts w:hint="eastAsia" w:ascii="宋体" w:hAnsi="宋体" w:cs="宋体"/>
          <w:b/>
          <w:color w:val="000000" w:themeColor="text1"/>
          <w:sz w:val="28"/>
          <w:szCs w:val="28"/>
          <w:highlight w:val="none"/>
          <w:lang w:eastAsia="zh-CN"/>
          <w14:textFill>
            <w14:solidFill>
              <w14:schemeClr w14:val="tx1"/>
            </w14:solidFill>
          </w14:textFill>
        </w:rPr>
        <w:t>富平县人民法院</w:t>
      </w:r>
      <w:r>
        <w:rPr>
          <w:rFonts w:hint="eastAsia" w:ascii="宋体" w:hAnsi="宋体" w:cs="宋体"/>
          <w:b/>
          <w:color w:val="000000" w:themeColor="text1"/>
          <w:sz w:val="28"/>
          <w:szCs w:val="28"/>
          <w:highlight w:val="none"/>
          <w14:textFill>
            <w14:solidFill>
              <w14:schemeClr w14:val="tx1"/>
            </w14:solidFill>
          </w14:textFill>
        </w:rPr>
        <w:t xml:space="preserve">   </w:t>
      </w:r>
      <w:bookmarkStart w:id="13" w:name="_GoBack"/>
      <w:bookmarkEnd w:id="13"/>
    </w:p>
    <w:p w14:paraId="3ED4A837">
      <w:pPr>
        <w:spacing w:line="360" w:lineRule="auto"/>
        <w:ind w:firstLine="2108" w:firstLineChars="750"/>
        <w:jc w:val="left"/>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 xml:space="preserve">乙    方：  </w:t>
      </w:r>
    </w:p>
    <w:p w14:paraId="7F4609B6">
      <w:pPr>
        <w:spacing w:line="360" w:lineRule="auto"/>
        <w:ind w:firstLine="2108" w:firstLineChars="750"/>
        <w:jc w:val="left"/>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 xml:space="preserve">签订地点： </w:t>
      </w:r>
      <w:r>
        <w:rPr>
          <w:rFonts w:ascii="宋体" w:hAnsi="宋体" w:cs="宋体"/>
          <w:b/>
          <w:color w:val="000000" w:themeColor="text1"/>
          <w:sz w:val="28"/>
          <w:szCs w:val="28"/>
          <w:highlight w:val="none"/>
          <w14:textFill>
            <w14:solidFill>
              <w14:schemeClr w14:val="tx1"/>
            </w14:solidFill>
          </w14:textFill>
        </w:rPr>
        <w:t xml:space="preserve"> </w:t>
      </w:r>
    </w:p>
    <w:p w14:paraId="3326371A">
      <w:pPr>
        <w:spacing w:line="360" w:lineRule="auto"/>
        <w:rPr>
          <w:rFonts w:hint="eastAsia" w:ascii="宋体" w:hAnsi="宋体" w:cs="宋体"/>
          <w:color w:val="000000" w:themeColor="text1"/>
          <w:highlight w:val="none"/>
          <w14:textFill>
            <w14:solidFill>
              <w14:schemeClr w14:val="tx1"/>
            </w14:solidFill>
          </w14:textFill>
        </w:rPr>
      </w:pPr>
    </w:p>
    <w:p w14:paraId="4DEB8D16">
      <w:pPr>
        <w:spacing w:line="360" w:lineRule="auto"/>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买方（以下称为甲方）：</w:t>
      </w:r>
      <w:r>
        <w:rPr>
          <w:rFonts w:hint="eastAsia" w:ascii="宋体" w:hAnsi="宋体" w:cs="宋体"/>
          <w:color w:val="000000" w:themeColor="text1"/>
          <w:highlight w:val="none"/>
          <w:lang w:eastAsia="zh-CN"/>
          <w14:textFill>
            <w14:solidFill>
              <w14:schemeClr w14:val="tx1"/>
            </w14:solidFill>
          </w14:textFill>
        </w:rPr>
        <w:t>富平县人民法院</w:t>
      </w:r>
    </w:p>
    <w:p w14:paraId="050F38A2">
      <w:pPr>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w:t>
      </w:r>
    </w:p>
    <w:p w14:paraId="1D90032F">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联系人：此处填写项目负责人</w:t>
      </w:r>
      <w:r>
        <w:rPr>
          <w:rFonts w:hint="eastAsia" w:ascii="宋体" w:hAnsi="宋体" w:cs="宋体"/>
          <w:color w:val="000000" w:themeColor="text1"/>
          <w:highlight w:val="none"/>
          <w14:textFill>
            <w14:solidFill>
              <w14:schemeClr w14:val="tx1"/>
            </w14:solidFill>
          </w14:textFill>
        </w:rPr>
        <w:tab/>
      </w:r>
      <w:r>
        <w:rPr>
          <w:rFonts w:hint="eastAsia" w:ascii="宋体" w:hAnsi="宋体" w:cs="宋体"/>
          <w:color w:val="000000" w:themeColor="text1"/>
          <w:highlight w:val="none"/>
          <w14:textFill>
            <w14:solidFill>
              <w14:schemeClr w14:val="tx1"/>
            </w14:solidFill>
          </w14:textFill>
        </w:rPr>
        <w:t xml:space="preserve">               </w:t>
      </w:r>
    </w:p>
    <w:p w14:paraId="38D6D939">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联系电话：</w:t>
      </w:r>
      <w:r>
        <w:rPr>
          <w:rFonts w:hint="eastAsia" w:ascii="宋体" w:hAnsi="宋体" w:cs="宋体"/>
          <w:color w:val="000000" w:themeColor="text1"/>
          <w:highlight w:val="none"/>
          <w14:textFill>
            <w14:solidFill>
              <w14:schemeClr w14:val="tx1"/>
            </w14:solidFill>
          </w14:textFill>
        </w:rPr>
        <w:tab/>
      </w:r>
    </w:p>
    <w:p w14:paraId="25582D8F">
      <w:pPr>
        <w:spacing w:line="360" w:lineRule="auto"/>
        <w:rPr>
          <w:rFonts w:ascii="宋体" w:hAnsi="宋体" w:cs="宋体"/>
          <w:color w:val="000000" w:themeColor="text1"/>
          <w:highlight w:val="none"/>
          <w14:textFill>
            <w14:solidFill>
              <w14:schemeClr w14:val="tx1"/>
            </w14:solidFill>
          </w14:textFill>
        </w:rPr>
      </w:pPr>
    </w:p>
    <w:p w14:paraId="42D89639">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卖方（以下称为乙方）：                  </w:t>
      </w:r>
    </w:p>
    <w:p w14:paraId="0A07E94B">
      <w:pPr>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w:t>
      </w:r>
    </w:p>
    <w:p w14:paraId="6C8D9AE4">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联系人：                                  </w:t>
      </w:r>
    </w:p>
    <w:p w14:paraId="0F7C02F5">
      <w:pPr>
        <w:spacing w:line="360" w:lineRule="auto"/>
        <w:rPr>
          <w:rFonts w:ascii="Arial" w:hAnsi="宋体" w:cs="Arial"/>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联系电话： </w:t>
      </w:r>
    </w:p>
    <w:p w14:paraId="238A3AA9">
      <w:pPr>
        <w:spacing w:line="360" w:lineRule="auto"/>
        <w:ind w:firstLine="480" w:firstLineChars="200"/>
        <w:rPr>
          <w:rFonts w:ascii="Arial" w:hAnsi="Arial" w:cs="Arial"/>
          <w:color w:val="000000" w:themeColor="text1"/>
          <w:highlight w:val="none"/>
          <w14:textFill>
            <w14:solidFill>
              <w14:schemeClr w14:val="tx1"/>
            </w14:solidFill>
          </w14:textFill>
        </w:rPr>
      </w:pPr>
      <w:r>
        <w:rPr>
          <w:rFonts w:hint="eastAsia" w:ascii="Arial" w:hAnsi="宋体" w:cs="Arial"/>
          <w:color w:val="000000" w:themeColor="text1"/>
          <w:highlight w:val="none"/>
          <w14:textFill>
            <w14:solidFill>
              <w14:schemeClr w14:val="tx1"/>
            </w14:solidFill>
          </w14:textFill>
        </w:rPr>
        <w:t>依照《</w:t>
      </w:r>
      <w:r>
        <w:rPr>
          <w:rFonts w:hint="eastAsia" w:ascii="宋体" w:hAnsi="宋体"/>
          <w:color w:val="000000" w:themeColor="text1"/>
          <w:highlight w:val="none"/>
          <w14:textFill>
            <w14:solidFill>
              <w14:schemeClr w14:val="tx1"/>
            </w14:solidFill>
          </w14:textFill>
        </w:rPr>
        <w:t>中华人民共和国民法典</w:t>
      </w:r>
      <w:r>
        <w:rPr>
          <w:rFonts w:hint="eastAsia" w:ascii="Arial" w:hAnsi="宋体" w:cs="Arial"/>
          <w:color w:val="000000" w:themeColor="text1"/>
          <w:highlight w:val="none"/>
          <w14:textFill>
            <w14:solidFill>
              <w14:schemeClr w14:val="tx1"/>
            </w14:solidFill>
          </w14:textFill>
        </w:rPr>
        <w:t>》及其他有关法律、行政法规，甲乙双方本着诚实、信用、公平、友好协商的原则，就</w:t>
      </w:r>
      <w:r>
        <w:rPr>
          <w:rFonts w:hint="eastAsia" w:ascii="Arial" w:hAnsi="宋体" w:cs="Arial"/>
          <w:color w:val="000000" w:themeColor="text1"/>
          <w:highlight w:val="none"/>
          <w:u w:val="single"/>
          <w14:textFill>
            <w14:solidFill>
              <w14:schemeClr w14:val="tx1"/>
            </w14:solidFill>
          </w14:textFill>
        </w:rPr>
        <w:t xml:space="preserve">    （项目名称）     </w:t>
      </w:r>
      <w:r>
        <w:rPr>
          <w:rFonts w:hint="eastAsia" w:ascii="Arial" w:hAnsi="宋体" w:cs="Arial"/>
          <w:color w:val="000000" w:themeColor="text1"/>
          <w:highlight w:val="none"/>
          <w14:textFill>
            <w14:solidFill>
              <w14:schemeClr w14:val="tx1"/>
            </w14:solidFill>
          </w14:textFill>
        </w:rPr>
        <w:t>协商一致，在完全自愿及清楚并理解本合同条款的基础上，订立本合同。</w:t>
      </w:r>
    </w:p>
    <w:p w14:paraId="08F92E14">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Arial" w:hAnsi="宋体" w:cs="Arial"/>
          <w:color w:val="000000" w:themeColor="text1"/>
          <w:highlight w:val="none"/>
          <w:u w:val="single"/>
          <w14:textFill>
            <w14:solidFill>
              <w14:schemeClr w14:val="tx1"/>
            </w14:solidFill>
          </w14:textFill>
        </w:rPr>
        <w:t xml:space="preserve">（项目名称） </w:t>
      </w:r>
      <w:r>
        <w:rPr>
          <w:rFonts w:hint="eastAsia" w:ascii="宋体" w:hAnsi="宋体" w:cs="宋体"/>
          <w:color w:val="000000" w:themeColor="text1"/>
          <w:szCs w:val="24"/>
          <w:highlight w:val="none"/>
          <w14:textFill>
            <w14:solidFill>
              <w14:schemeClr w14:val="tx1"/>
            </w14:solidFill>
          </w14:textFill>
        </w:rPr>
        <w:t>，经组织公开招标，选定为</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的中标单位。经甲、乙双方共同协商，达成如下合同条款。</w:t>
      </w:r>
    </w:p>
    <w:p w14:paraId="5A697015">
      <w:pPr>
        <w:tabs>
          <w:tab w:val="left" w:pos="480"/>
        </w:tabs>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一、合同内容</w:t>
      </w:r>
    </w:p>
    <w:p w14:paraId="19FDC606">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l、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14:paraId="37A29957">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2、招标文件、乙方的投标文件及评标过程中的澄清、承诺内容均作为本合同的组成部分，具有同等法律效力。</w:t>
      </w:r>
    </w:p>
    <w:p w14:paraId="73E16B2E">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二、合同价款及质保期</w:t>
      </w:r>
    </w:p>
    <w:p w14:paraId="29D9B5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1、中标产品品牌、规格、产地、数量、单价及合同总价：     单位：元</w:t>
      </w:r>
    </w:p>
    <w:tbl>
      <w:tblPr>
        <w:tblStyle w:val="4"/>
        <w:tblW w:w="8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630"/>
        <w:gridCol w:w="720"/>
        <w:gridCol w:w="1035"/>
        <w:gridCol w:w="1235"/>
        <w:gridCol w:w="730"/>
        <w:gridCol w:w="855"/>
        <w:gridCol w:w="637"/>
        <w:gridCol w:w="848"/>
        <w:gridCol w:w="845"/>
      </w:tblGrid>
      <w:tr w14:paraId="0409B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202711D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设备名称</w:t>
            </w: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15E311D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设备品牌</w:t>
            </w:r>
          </w:p>
        </w:tc>
        <w:tc>
          <w:tcPr>
            <w:tcW w:w="1035" w:type="dxa"/>
            <w:tcBorders>
              <w:top w:val="single" w:color="auto" w:sz="4" w:space="0"/>
              <w:left w:val="single" w:color="auto" w:sz="4" w:space="0"/>
              <w:bottom w:val="single" w:color="auto" w:sz="4" w:space="0"/>
              <w:right w:val="single" w:color="auto" w:sz="4" w:space="0"/>
            </w:tcBorders>
            <w:noWrap/>
            <w:vAlign w:val="center"/>
          </w:tcPr>
          <w:p w14:paraId="432F0359">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制造商</w:t>
            </w:r>
          </w:p>
        </w:tc>
        <w:tc>
          <w:tcPr>
            <w:tcW w:w="1235" w:type="dxa"/>
            <w:tcBorders>
              <w:top w:val="single" w:color="auto" w:sz="4" w:space="0"/>
              <w:left w:val="single" w:color="auto" w:sz="4" w:space="0"/>
              <w:bottom w:val="single" w:color="auto" w:sz="4" w:space="0"/>
              <w:right w:val="single" w:color="auto" w:sz="4" w:space="0"/>
            </w:tcBorders>
            <w:noWrap/>
            <w:vAlign w:val="center"/>
          </w:tcPr>
          <w:p w14:paraId="7DA03C4E">
            <w:pPr>
              <w:spacing w:line="360" w:lineRule="auto"/>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规格型号</w:t>
            </w:r>
          </w:p>
        </w:tc>
        <w:tc>
          <w:tcPr>
            <w:tcW w:w="730" w:type="dxa"/>
            <w:tcBorders>
              <w:top w:val="single" w:color="auto" w:sz="4" w:space="0"/>
              <w:left w:val="single" w:color="auto" w:sz="4" w:space="0"/>
              <w:bottom w:val="single" w:color="auto" w:sz="4" w:space="0"/>
              <w:right w:val="single" w:color="auto" w:sz="4" w:space="0"/>
            </w:tcBorders>
            <w:noWrap/>
            <w:vAlign w:val="center"/>
          </w:tcPr>
          <w:p w14:paraId="0736676A">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单位</w:t>
            </w:r>
          </w:p>
        </w:tc>
        <w:tc>
          <w:tcPr>
            <w:tcW w:w="855" w:type="dxa"/>
            <w:tcBorders>
              <w:top w:val="single" w:color="auto" w:sz="4" w:space="0"/>
              <w:left w:val="single" w:color="auto" w:sz="4" w:space="0"/>
              <w:bottom w:val="single" w:color="auto" w:sz="4" w:space="0"/>
              <w:right w:val="single" w:color="auto" w:sz="4" w:space="0"/>
            </w:tcBorders>
            <w:noWrap/>
            <w:vAlign w:val="center"/>
          </w:tcPr>
          <w:p w14:paraId="4D29F059">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数量</w:t>
            </w:r>
          </w:p>
        </w:tc>
        <w:tc>
          <w:tcPr>
            <w:tcW w:w="637" w:type="dxa"/>
            <w:tcBorders>
              <w:top w:val="single" w:color="auto" w:sz="4" w:space="0"/>
              <w:left w:val="single" w:color="auto" w:sz="4" w:space="0"/>
              <w:bottom w:val="single" w:color="auto" w:sz="4" w:space="0"/>
              <w:right w:val="single" w:color="auto" w:sz="4" w:space="0"/>
            </w:tcBorders>
            <w:noWrap/>
            <w:vAlign w:val="center"/>
          </w:tcPr>
          <w:p w14:paraId="5CF671ED">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单价</w:t>
            </w:r>
          </w:p>
        </w:tc>
        <w:tc>
          <w:tcPr>
            <w:tcW w:w="848" w:type="dxa"/>
            <w:tcBorders>
              <w:top w:val="single" w:color="auto" w:sz="4" w:space="0"/>
              <w:left w:val="single" w:color="auto" w:sz="4" w:space="0"/>
              <w:bottom w:val="single" w:color="auto" w:sz="4" w:space="0"/>
              <w:right w:val="single" w:color="auto" w:sz="4" w:space="0"/>
            </w:tcBorders>
            <w:noWrap/>
            <w:vAlign w:val="center"/>
          </w:tcPr>
          <w:p w14:paraId="757D8B01">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合计</w:t>
            </w:r>
          </w:p>
        </w:tc>
        <w:tc>
          <w:tcPr>
            <w:tcW w:w="845" w:type="dxa"/>
            <w:tcBorders>
              <w:top w:val="single" w:color="auto" w:sz="4" w:space="0"/>
              <w:left w:val="single" w:color="auto" w:sz="4" w:space="0"/>
              <w:bottom w:val="single" w:color="auto" w:sz="4" w:space="0"/>
              <w:right w:val="single" w:color="auto" w:sz="4" w:space="0"/>
            </w:tcBorders>
            <w:noWrap/>
            <w:vAlign w:val="center"/>
          </w:tcPr>
          <w:p w14:paraId="6C4A9381">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质保期</w:t>
            </w:r>
          </w:p>
        </w:tc>
      </w:tr>
      <w:tr w14:paraId="70B42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0497A8E4">
            <w:pPr>
              <w:spacing w:line="360" w:lineRule="auto"/>
              <w:rPr>
                <w:rFonts w:ascii="宋体" w:hAnsi="宋体" w:cs="宋体"/>
                <w:color w:val="000000" w:themeColor="text1"/>
                <w:highlight w:val="none"/>
                <w14:textFill>
                  <w14:solidFill>
                    <w14:schemeClr w14:val="tx1"/>
                  </w14:solidFill>
                </w14:textFill>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4936F238">
            <w:pPr>
              <w:spacing w:line="360" w:lineRule="auto"/>
              <w:rPr>
                <w:rFonts w:ascii="宋体" w:hAnsi="宋体" w:cs="宋体"/>
                <w:color w:val="000000" w:themeColor="text1"/>
                <w:highlight w:val="none"/>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5BF71B72">
            <w:pPr>
              <w:spacing w:line="360" w:lineRule="auto"/>
              <w:rPr>
                <w:rFonts w:ascii="宋体" w:hAnsi="宋体" w:cs="宋体"/>
                <w:color w:val="000000" w:themeColor="text1"/>
                <w:highlight w:val="none"/>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31E4BABC">
            <w:pPr>
              <w:spacing w:line="360" w:lineRule="auto"/>
              <w:rPr>
                <w:rFonts w:ascii="宋体" w:hAnsi="宋体" w:cs="宋体"/>
                <w:color w:val="000000" w:themeColor="text1"/>
                <w:highlight w:val="none"/>
                <w14:textFill>
                  <w14:solidFill>
                    <w14:schemeClr w14:val="tx1"/>
                  </w14:solidFill>
                </w14:textFill>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2EDC7B5D">
            <w:pPr>
              <w:spacing w:line="360" w:lineRule="auto"/>
              <w:rPr>
                <w:rFonts w:ascii="宋体" w:hAnsi="宋体" w:cs="宋体"/>
                <w:color w:val="000000" w:themeColor="text1"/>
                <w:highlight w:val="none"/>
                <w14:textFill>
                  <w14:solidFill>
                    <w14:schemeClr w14:val="tx1"/>
                  </w14:solidFill>
                </w14:textFill>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5B757A0C">
            <w:pPr>
              <w:spacing w:line="360" w:lineRule="auto"/>
              <w:rPr>
                <w:rFonts w:ascii="宋体" w:hAnsi="宋体" w:cs="宋体"/>
                <w:color w:val="000000" w:themeColor="text1"/>
                <w:highlight w:val="none"/>
                <w14:textFill>
                  <w14:solidFill>
                    <w14:schemeClr w14:val="tx1"/>
                  </w14:solidFill>
                </w14:textFill>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44D80157">
            <w:pPr>
              <w:spacing w:line="360" w:lineRule="auto"/>
              <w:rPr>
                <w:rFonts w:ascii="宋体" w:hAnsi="宋体" w:cs="宋体"/>
                <w:color w:val="000000" w:themeColor="text1"/>
                <w:highlight w:val="none"/>
                <w14:textFill>
                  <w14:solidFill>
                    <w14:schemeClr w14:val="tx1"/>
                  </w14:solidFill>
                </w14:textFill>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2DB83E6C">
            <w:pPr>
              <w:spacing w:line="360" w:lineRule="auto"/>
              <w:rPr>
                <w:rFonts w:ascii="宋体" w:hAnsi="宋体" w:cs="宋体"/>
                <w:color w:val="000000" w:themeColor="text1"/>
                <w:highlight w:val="none"/>
                <w14:textFill>
                  <w14:solidFill>
                    <w14:schemeClr w14:val="tx1"/>
                  </w14:solidFill>
                </w14:textFill>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103F8A95">
            <w:pPr>
              <w:spacing w:line="360" w:lineRule="auto"/>
              <w:rPr>
                <w:rFonts w:ascii="宋体" w:hAnsi="宋体" w:cs="宋体"/>
                <w:color w:val="000000" w:themeColor="text1"/>
                <w:highlight w:val="none"/>
                <w14:textFill>
                  <w14:solidFill>
                    <w14:schemeClr w14:val="tx1"/>
                  </w14:solidFill>
                </w14:textFill>
              </w:rPr>
            </w:pPr>
          </w:p>
        </w:tc>
      </w:tr>
      <w:tr w14:paraId="78FC9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4A09185A">
            <w:pPr>
              <w:spacing w:line="360" w:lineRule="auto"/>
              <w:rPr>
                <w:rFonts w:ascii="宋体" w:hAnsi="宋体" w:cs="宋体"/>
                <w:color w:val="000000" w:themeColor="text1"/>
                <w:highlight w:val="none"/>
                <w14:textFill>
                  <w14:solidFill>
                    <w14:schemeClr w14:val="tx1"/>
                  </w14:solidFill>
                </w14:textFill>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59F812E1">
            <w:pPr>
              <w:spacing w:line="360" w:lineRule="auto"/>
              <w:rPr>
                <w:rFonts w:ascii="宋体" w:hAnsi="宋体" w:cs="宋体"/>
                <w:color w:val="000000" w:themeColor="text1"/>
                <w:highlight w:val="none"/>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1CF927F1">
            <w:pPr>
              <w:spacing w:line="360" w:lineRule="auto"/>
              <w:rPr>
                <w:rFonts w:ascii="宋体" w:hAnsi="宋体" w:cs="宋体"/>
                <w:color w:val="000000" w:themeColor="text1"/>
                <w:highlight w:val="none"/>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1D7E191A">
            <w:pPr>
              <w:spacing w:line="360" w:lineRule="auto"/>
              <w:rPr>
                <w:rFonts w:ascii="宋体" w:hAnsi="宋体" w:cs="宋体"/>
                <w:color w:val="000000" w:themeColor="text1"/>
                <w:highlight w:val="none"/>
                <w14:textFill>
                  <w14:solidFill>
                    <w14:schemeClr w14:val="tx1"/>
                  </w14:solidFill>
                </w14:textFill>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0995B80A">
            <w:pPr>
              <w:spacing w:line="360" w:lineRule="auto"/>
              <w:rPr>
                <w:rFonts w:ascii="宋体" w:hAnsi="宋体" w:cs="宋体"/>
                <w:color w:val="000000" w:themeColor="text1"/>
                <w:highlight w:val="none"/>
                <w14:textFill>
                  <w14:solidFill>
                    <w14:schemeClr w14:val="tx1"/>
                  </w14:solidFill>
                </w14:textFill>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4FC216F2">
            <w:pPr>
              <w:spacing w:line="360" w:lineRule="auto"/>
              <w:rPr>
                <w:rFonts w:ascii="宋体" w:hAnsi="宋体" w:cs="宋体"/>
                <w:color w:val="000000" w:themeColor="text1"/>
                <w:highlight w:val="none"/>
                <w14:textFill>
                  <w14:solidFill>
                    <w14:schemeClr w14:val="tx1"/>
                  </w14:solidFill>
                </w14:textFill>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63F72E69">
            <w:pPr>
              <w:spacing w:line="360" w:lineRule="auto"/>
              <w:rPr>
                <w:rFonts w:ascii="宋体" w:hAnsi="宋体" w:cs="宋体"/>
                <w:color w:val="000000" w:themeColor="text1"/>
                <w:highlight w:val="none"/>
                <w14:textFill>
                  <w14:solidFill>
                    <w14:schemeClr w14:val="tx1"/>
                  </w14:solidFill>
                </w14:textFill>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1CBC4C96">
            <w:pPr>
              <w:spacing w:line="360" w:lineRule="auto"/>
              <w:rPr>
                <w:rFonts w:ascii="宋体" w:hAnsi="宋体" w:cs="宋体"/>
                <w:color w:val="000000" w:themeColor="text1"/>
                <w:highlight w:val="none"/>
                <w14:textFill>
                  <w14:solidFill>
                    <w14:schemeClr w14:val="tx1"/>
                  </w14:solidFill>
                </w14:textFill>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7ED2D32E">
            <w:pPr>
              <w:spacing w:line="360" w:lineRule="auto"/>
              <w:rPr>
                <w:rFonts w:ascii="宋体" w:hAnsi="宋体" w:cs="宋体"/>
                <w:color w:val="000000" w:themeColor="text1"/>
                <w:highlight w:val="none"/>
                <w14:textFill>
                  <w14:solidFill>
                    <w14:schemeClr w14:val="tx1"/>
                  </w14:solidFill>
                </w14:textFill>
              </w:rPr>
            </w:pPr>
          </w:p>
        </w:tc>
      </w:tr>
      <w:tr w14:paraId="656D7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0C4E1939">
            <w:pPr>
              <w:spacing w:line="360" w:lineRule="auto"/>
              <w:rPr>
                <w:rFonts w:ascii="宋体" w:hAnsi="宋体" w:cs="宋体"/>
                <w:color w:val="000000" w:themeColor="text1"/>
                <w:highlight w:val="none"/>
                <w14:textFill>
                  <w14:solidFill>
                    <w14:schemeClr w14:val="tx1"/>
                  </w14:solidFill>
                </w14:textFill>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2B2A5655">
            <w:pPr>
              <w:spacing w:line="360" w:lineRule="auto"/>
              <w:rPr>
                <w:rFonts w:ascii="宋体" w:hAnsi="宋体" w:cs="宋体"/>
                <w:color w:val="000000" w:themeColor="text1"/>
                <w:highlight w:val="none"/>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123EBE51">
            <w:pPr>
              <w:spacing w:line="360" w:lineRule="auto"/>
              <w:rPr>
                <w:rFonts w:ascii="宋体" w:hAnsi="宋体" w:cs="宋体"/>
                <w:color w:val="000000" w:themeColor="text1"/>
                <w:highlight w:val="none"/>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0C17EF30">
            <w:pPr>
              <w:spacing w:line="360" w:lineRule="auto"/>
              <w:rPr>
                <w:rFonts w:ascii="宋体" w:hAnsi="宋体" w:cs="宋体"/>
                <w:color w:val="000000" w:themeColor="text1"/>
                <w:highlight w:val="none"/>
                <w14:textFill>
                  <w14:solidFill>
                    <w14:schemeClr w14:val="tx1"/>
                  </w14:solidFill>
                </w14:textFill>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0D3FBC0A">
            <w:pPr>
              <w:spacing w:line="360" w:lineRule="auto"/>
              <w:rPr>
                <w:rFonts w:ascii="宋体" w:hAnsi="宋体" w:cs="宋体"/>
                <w:color w:val="000000" w:themeColor="text1"/>
                <w:highlight w:val="none"/>
                <w14:textFill>
                  <w14:solidFill>
                    <w14:schemeClr w14:val="tx1"/>
                  </w14:solidFill>
                </w14:textFill>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611D7691">
            <w:pPr>
              <w:spacing w:line="360" w:lineRule="auto"/>
              <w:rPr>
                <w:rFonts w:ascii="宋体" w:hAnsi="宋体" w:cs="宋体"/>
                <w:color w:val="000000" w:themeColor="text1"/>
                <w:highlight w:val="none"/>
                <w14:textFill>
                  <w14:solidFill>
                    <w14:schemeClr w14:val="tx1"/>
                  </w14:solidFill>
                </w14:textFill>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425A7596">
            <w:pPr>
              <w:spacing w:line="360" w:lineRule="auto"/>
              <w:rPr>
                <w:rFonts w:ascii="宋体" w:hAnsi="宋体" w:cs="宋体"/>
                <w:color w:val="000000" w:themeColor="text1"/>
                <w:highlight w:val="none"/>
                <w14:textFill>
                  <w14:solidFill>
                    <w14:schemeClr w14:val="tx1"/>
                  </w14:solidFill>
                </w14:textFill>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235DDE53">
            <w:pPr>
              <w:spacing w:line="360" w:lineRule="auto"/>
              <w:rPr>
                <w:rFonts w:ascii="宋体" w:hAnsi="宋体" w:cs="宋体"/>
                <w:color w:val="000000" w:themeColor="text1"/>
                <w:highlight w:val="none"/>
                <w14:textFill>
                  <w14:solidFill>
                    <w14:schemeClr w14:val="tx1"/>
                  </w14:solidFill>
                </w14:textFill>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6326E008">
            <w:pPr>
              <w:spacing w:line="360" w:lineRule="auto"/>
              <w:rPr>
                <w:rFonts w:ascii="宋体" w:hAnsi="宋体" w:cs="宋体"/>
                <w:color w:val="000000" w:themeColor="text1"/>
                <w:highlight w:val="none"/>
                <w14:textFill>
                  <w14:solidFill>
                    <w14:schemeClr w14:val="tx1"/>
                  </w14:solidFill>
                </w14:textFill>
              </w:rPr>
            </w:pPr>
          </w:p>
        </w:tc>
      </w:tr>
      <w:tr w14:paraId="172D9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14:paraId="32816698">
            <w:pPr>
              <w:spacing w:line="360" w:lineRule="auto"/>
              <w:rPr>
                <w:rFonts w:ascii="宋体" w:hAnsi="宋体" w:cs="宋体"/>
                <w:color w:val="000000" w:themeColor="text1"/>
                <w:highlight w:val="none"/>
                <w14:textFill>
                  <w14:solidFill>
                    <w14:schemeClr w14:val="tx1"/>
                  </w14:solidFill>
                </w14:textFill>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14:paraId="2949A060">
            <w:pPr>
              <w:spacing w:line="360" w:lineRule="auto"/>
              <w:rPr>
                <w:rFonts w:ascii="宋体" w:hAnsi="宋体" w:cs="宋体"/>
                <w:color w:val="000000" w:themeColor="text1"/>
                <w:highlight w:val="none"/>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noWrap/>
            <w:vAlign w:val="center"/>
          </w:tcPr>
          <w:p w14:paraId="089A3D79">
            <w:pPr>
              <w:spacing w:line="360" w:lineRule="auto"/>
              <w:rPr>
                <w:rFonts w:ascii="宋体" w:hAnsi="宋体" w:cs="宋体"/>
                <w:color w:val="000000" w:themeColor="text1"/>
                <w:highlight w:val="none"/>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noWrap/>
            <w:vAlign w:val="center"/>
          </w:tcPr>
          <w:p w14:paraId="20350015">
            <w:pPr>
              <w:spacing w:line="360" w:lineRule="auto"/>
              <w:rPr>
                <w:rFonts w:ascii="宋体" w:hAnsi="宋体" w:cs="宋体"/>
                <w:color w:val="000000" w:themeColor="text1"/>
                <w:highlight w:val="none"/>
                <w14:textFill>
                  <w14:solidFill>
                    <w14:schemeClr w14:val="tx1"/>
                  </w14:solidFill>
                </w14:textFill>
              </w:rPr>
            </w:pPr>
          </w:p>
        </w:tc>
        <w:tc>
          <w:tcPr>
            <w:tcW w:w="730" w:type="dxa"/>
            <w:tcBorders>
              <w:top w:val="single" w:color="auto" w:sz="4" w:space="0"/>
              <w:left w:val="single" w:color="auto" w:sz="4" w:space="0"/>
              <w:bottom w:val="single" w:color="auto" w:sz="4" w:space="0"/>
              <w:right w:val="single" w:color="auto" w:sz="4" w:space="0"/>
            </w:tcBorders>
            <w:noWrap/>
            <w:vAlign w:val="center"/>
          </w:tcPr>
          <w:p w14:paraId="2C50F727">
            <w:pPr>
              <w:spacing w:line="360" w:lineRule="auto"/>
              <w:rPr>
                <w:rFonts w:ascii="宋体" w:hAnsi="宋体" w:cs="宋体"/>
                <w:color w:val="000000" w:themeColor="text1"/>
                <w:highlight w:val="none"/>
                <w14:textFill>
                  <w14:solidFill>
                    <w14:schemeClr w14:val="tx1"/>
                  </w14:solidFill>
                </w14:textFill>
              </w:rPr>
            </w:pPr>
          </w:p>
        </w:tc>
        <w:tc>
          <w:tcPr>
            <w:tcW w:w="855" w:type="dxa"/>
            <w:tcBorders>
              <w:top w:val="single" w:color="auto" w:sz="4" w:space="0"/>
              <w:left w:val="single" w:color="auto" w:sz="4" w:space="0"/>
              <w:bottom w:val="single" w:color="auto" w:sz="4" w:space="0"/>
              <w:right w:val="single" w:color="auto" w:sz="4" w:space="0"/>
            </w:tcBorders>
            <w:noWrap/>
            <w:vAlign w:val="center"/>
          </w:tcPr>
          <w:p w14:paraId="39265E9F">
            <w:pPr>
              <w:spacing w:line="360" w:lineRule="auto"/>
              <w:rPr>
                <w:rFonts w:ascii="宋体" w:hAnsi="宋体" w:cs="宋体"/>
                <w:color w:val="000000" w:themeColor="text1"/>
                <w:highlight w:val="none"/>
                <w14:textFill>
                  <w14:solidFill>
                    <w14:schemeClr w14:val="tx1"/>
                  </w14:solidFill>
                </w14:textFill>
              </w:rPr>
            </w:pPr>
          </w:p>
        </w:tc>
        <w:tc>
          <w:tcPr>
            <w:tcW w:w="637" w:type="dxa"/>
            <w:tcBorders>
              <w:top w:val="single" w:color="auto" w:sz="4" w:space="0"/>
              <w:left w:val="single" w:color="auto" w:sz="4" w:space="0"/>
              <w:bottom w:val="single" w:color="auto" w:sz="4" w:space="0"/>
              <w:right w:val="single" w:color="auto" w:sz="4" w:space="0"/>
            </w:tcBorders>
            <w:noWrap/>
            <w:vAlign w:val="center"/>
          </w:tcPr>
          <w:p w14:paraId="1008D03B">
            <w:pPr>
              <w:spacing w:line="360" w:lineRule="auto"/>
              <w:rPr>
                <w:rFonts w:ascii="宋体" w:hAnsi="宋体" w:cs="宋体"/>
                <w:color w:val="000000" w:themeColor="text1"/>
                <w:highlight w:val="none"/>
                <w14:textFill>
                  <w14:solidFill>
                    <w14:schemeClr w14:val="tx1"/>
                  </w14:solidFill>
                </w14:textFill>
              </w:rPr>
            </w:pPr>
          </w:p>
        </w:tc>
        <w:tc>
          <w:tcPr>
            <w:tcW w:w="848" w:type="dxa"/>
            <w:tcBorders>
              <w:top w:val="single" w:color="auto" w:sz="4" w:space="0"/>
              <w:left w:val="single" w:color="auto" w:sz="4" w:space="0"/>
              <w:bottom w:val="single" w:color="auto" w:sz="4" w:space="0"/>
              <w:right w:val="single" w:color="auto" w:sz="4" w:space="0"/>
            </w:tcBorders>
            <w:noWrap/>
            <w:vAlign w:val="center"/>
          </w:tcPr>
          <w:p w14:paraId="3D293270">
            <w:pPr>
              <w:spacing w:line="360" w:lineRule="auto"/>
              <w:rPr>
                <w:rFonts w:ascii="宋体" w:hAnsi="宋体" w:cs="宋体"/>
                <w:color w:val="000000" w:themeColor="text1"/>
                <w:highlight w:val="none"/>
                <w14:textFill>
                  <w14:solidFill>
                    <w14:schemeClr w14:val="tx1"/>
                  </w14:solidFill>
                </w14:textFill>
              </w:rPr>
            </w:pPr>
          </w:p>
        </w:tc>
        <w:tc>
          <w:tcPr>
            <w:tcW w:w="845" w:type="dxa"/>
            <w:tcBorders>
              <w:top w:val="single" w:color="auto" w:sz="4" w:space="0"/>
              <w:left w:val="single" w:color="auto" w:sz="4" w:space="0"/>
              <w:bottom w:val="single" w:color="auto" w:sz="4" w:space="0"/>
              <w:right w:val="single" w:color="auto" w:sz="4" w:space="0"/>
            </w:tcBorders>
            <w:noWrap/>
            <w:vAlign w:val="center"/>
          </w:tcPr>
          <w:p w14:paraId="7080C5B5">
            <w:pPr>
              <w:spacing w:line="360" w:lineRule="auto"/>
              <w:rPr>
                <w:rFonts w:ascii="宋体" w:hAnsi="宋体" w:cs="宋体"/>
                <w:color w:val="000000" w:themeColor="text1"/>
                <w:highlight w:val="none"/>
                <w14:textFill>
                  <w14:solidFill>
                    <w14:schemeClr w14:val="tx1"/>
                  </w14:solidFill>
                </w14:textFill>
              </w:rPr>
            </w:pPr>
          </w:p>
        </w:tc>
      </w:tr>
      <w:tr w14:paraId="2C80F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1806" w:type="dxa"/>
            <w:gridSpan w:val="2"/>
            <w:tcBorders>
              <w:top w:val="single" w:color="auto" w:sz="4" w:space="0"/>
              <w:left w:val="single" w:color="auto" w:sz="4" w:space="0"/>
              <w:bottom w:val="single" w:color="auto" w:sz="4" w:space="0"/>
              <w:right w:val="single" w:color="auto" w:sz="4" w:space="0"/>
            </w:tcBorders>
            <w:noWrap/>
            <w:vAlign w:val="center"/>
          </w:tcPr>
          <w:p w14:paraId="4AA629E5">
            <w:pPr>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总价（人民币）：</w:t>
            </w:r>
          </w:p>
        </w:tc>
        <w:tc>
          <w:tcPr>
            <w:tcW w:w="6060" w:type="dxa"/>
            <w:gridSpan w:val="7"/>
            <w:tcBorders>
              <w:top w:val="single" w:color="auto" w:sz="4" w:space="0"/>
              <w:left w:val="single" w:color="auto" w:sz="4" w:space="0"/>
              <w:bottom w:val="single" w:color="auto" w:sz="4" w:space="0"/>
              <w:right w:val="single" w:color="auto" w:sz="4" w:space="0"/>
            </w:tcBorders>
            <w:noWrap/>
            <w:vAlign w:val="center"/>
          </w:tcPr>
          <w:p w14:paraId="63A20FA7">
            <w:pPr>
              <w:spacing w:line="360" w:lineRule="auto"/>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大写：                                            小写：¥                   </w:t>
            </w:r>
          </w:p>
        </w:tc>
        <w:tc>
          <w:tcPr>
            <w:tcW w:w="845" w:type="dxa"/>
            <w:tcBorders>
              <w:top w:val="single" w:color="auto" w:sz="4" w:space="0"/>
              <w:left w:val="single" w:color="auto" w:sz="4" w:space="0"/>
              <w:bottom w:val="single" w:color="auto" w:sz="4" w:space="0"/>
              <w:right w:val="single" w:color="auto" w:sz="4" w:space="0"/>
            </w:tcBorders>
            <w:noWrap/>
            <w:vAlign w:val="center"/>
          </w:tcPr>
          <w:p w14:paraId="5B3F7539">
            <w:pPr>
              <w:spacing w:line="360" w:lineRule="auto"/>
              <w:rPr>
                <w:rFonts w:ascii="宋体" w:hAnsi="宋体" w:cs="宋体"/>
                <w:color w:val="000000" w:themeColor="text1"/>
                <w:highlight w:val="none"/>
                <w14:textFill>
                  <w14:solidFill>
                    <w14:schemeClr w14:val="tx1"/>
                  </w14:solidFill>
                </w14:textFill>
              </w:rPr>
            </w:pPr>
          </w:p>
        </w:tc>
      </w:tr>
    </w:tbl>
    <w:p w14:paraId="6AF83ABE">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2、合同总价包括：完成项目所需的所有费用，包括但不限于材料费、设备费、运输费、安装费、实施费、税金、调试费、售后相关费用等完成本项目所需的一切费用。</w:t>
      </w:r>
    </w:p>
    <w:p w14:paraId="4FF26862">
      <w:pPr>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3、合同总价一次性包死，不受市场价格变化因素的影响。</w:t>
      </w:r>
      <w:r>
        <w:rPr>
          <w:rFonts w:hint="eastAsia" w:ascii="宋体" w:hAnsi="宋体" w:cs="宋体"/>
          <w:bCs/>
          <w:color w:val="000000" w:themeColor="text1"/>
          <w:szCs w:val="24"/>
          <w:highlight w:val="none"/>
          <w14:textFill>
            <w14:solidFill>
              <w14:schemeClr w14:val="tx1"/>
            </w14:solidFill>
          </w14:textFill>
        </w:rPr>
        <w:t>在项目实施中产生的其它费用，均由</w:t>
      </w:r>
      <w:r>
        <w:rPr>
          <w:rFonts w:hint="eastAsia" w:ascii="宋体" w:hAnsi="宋体" w:cs="宋体"/>
          <w:color w:val="000000" w:themeColor="text1"/>
          <w:szCs w:val="24"/>
          <w:highlight w:val="none"/>
          <w14:textFill>
            <w14:solidFill>
              <w14:schemeClr w14:val="tx1"/>
            </w14:solidFill>
          </w14:textFill>
        </w:rPr>
        <w:t>乙方</w:t>
      </w:r>
      <w:r>
        <w:rPr>
          <w:rFonts w:hint="eastAsia" w:ascii="宋体" w:hAnsi="宋体" w:cs="宋体"/>
          <w:bCs/>
          <w:color w:val="000000" w:themeColor="text1"/>
          <w:szCs w:val="24"/>
          <w:highlight w:val="none"/>
          <w14:textFill>
            <w14:solidFill>
              <w14:schemeClr w14:val="tx1"/>
            </w14:solidFill>
          </w14:textFill>
        </w:rPr>
        <w:t>免费提供，甲方不再支付任何费用。</w:t>
      </w:r>
    </w:p>
    <w:p w14:paraId="219B5E08">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4、关于所采购货物本身随同配备的备品备件及器材的价格已包含于合同总价，不再额外收取费用。</w:t>
      </w:r>
    </w:p>
    <w:p w14:paraId="607317FF">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5、乙方需保证所能够提供使用的备品备件属于经过合法授权的，确保备品备件产权归乙方所有。</w:t>
      </w:r>
    </w:p>
    <w:p w14:paraId="3A6C693B">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6、乙方开户行：</w:t>
      </w:r>
    </w:p>
    <w:p w14:paraId="6C0DBCDF">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乙方公司名称：</w:t>
      </w:r>
    </w:p>
    <w:p w14:paraId="661398F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乙方公司账号：</w:t>
      </w:r>
    </w:p>
    <w:p w14:paraId="18DF3EFA">
      <w:pPr>
        <w:spacing w:line="360" w:lineRule="auto"/>
        <w:ind w:firstLine="482" w:firstLineChars="200"/>
        <w:rPr>
          <w:rFonts w:hint="default" w:ascii="宋体" w:hAnsi="宋体" w:eastAsia="宋体" w:cs="宋体"/>
          <w:b/>
          <w:color w:val="000000" w:themeColor="text1"/>
          <w:szCs w:val="24"/>
          <w:highlight w:val="none"/>
          <w:lang w:val="en-US" w:eastAsia="zh-CN"/>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三、</w:t>
      </w:r>
      <w:r>
        <w:rPr>
          <w:rFonts w:hint="eastAsia" w:ascii="宋体" w:hAnsi="宋体" w:cs="宋体"/>
          <w:b/>
          <w:color w:val="000000" w:themeColor="text1"/>
          <w:szCs w:val="24"/>
          <w:highlight w:val="none"/>
          <w:lang w:val="en-US" w:eastAsia="zh-CN"/>
          <w14:textFill>
            <w14:solidFill>
              <w14:schemeClr w14:val="tx1"/>
            </w14:solidFill>
          </w14:textFill>
        </w:rPr>
        <w:t>付款方式：</w:t>
      </w:r>
      <w:r>
        <w:rPr>
          <w:rFonts w:hint="eastAsia" w:ascii="宋体" w:hAnsi="宋体" w:cs="宋体"/>
          <w:b w:val="0"/>
          <w:bCs/>
          <w:color w:val="000000" w:themeColor="text1"/>
          <w:szCs w:val="24"/>
          <w:highlight w:val="none"/>
          <w:lang w:val="en-US" w:eastAsia="zh-CN"/>
          <w14:textFill>
            <w14:solidFill>
              <w14:schemeClr w14:val="tx1"/>
            </w14:solidFill>
          </w14:textFill>
        </w:rPr>
        <w:t>合同签订后，待设备安装调试完毕，经终验合格后60天内一次付清合同款项。</w:t>
      </w:r>
    </w:p>
    <w:p w14:paraId="1CFC72BB">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四、双方的权利和义务</w:t>
      </w:r>
    </w:p>
    <w:p w14:paraId="1BCA3818">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1、甲方责任</w:t>
      </w:r>
    </w:p>
    <w:p w14:paraId="37D6A120">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负责核准、认定本项目相关技术资料文档；监督、参与项目执行的整个过程（包括实施方案的设计、安装调试、项目验收、人员培训、售后服务等）；为乙方提供必要的工作条件，并提供该产品所必需的安装环境；按照合同约定支付各阶段合同款项。</w:t>
      </w:r>
    </w:p>
    <w:p w14:paraId="3FF00923">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2、乙方责任</w:t>
      </w:r>
    </w:p>
    <w:p w14:paraId="769B6C9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按时完成产品运行环境的检查；产品的交接；按时完成本合同所涉及产品的安装调试、验收工作；协助配合甲方完成应用系统的整合工作；为甲方提供整个项目的售后服务技术支持工作。附件同时提供产品详细的中文技术规格书和外观照片。</w:t>
      </w:r>
    </w:p>
    <w:p w14:paraId="43A2A843">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五、交货条件：</w:t>
      </w:r>
    </w:p>
    <w:p w14:paraId="521DFB77">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1、交货地点：</w:t>
      </w:r>
      <w:r>
        <w:rPr>
          <w:rFonts w:hint="eastAsia" w:ascii="宋体" w:hAnsi="宋体" w:cs="宋体"/>
          <w:color w:val="000000" w:themeColor="text1"/>
          <w:szCs w:val="24"/>
          <w:highlight w:val="none"/>
          <w:lang w:val="en-US" w:eastAsia="zh-CN"/>
          <w14:textFill>
            <w14:solidFill>
              <w14:schemeClr w14:val="tx1"/>
            </w14:solidFill>
          </w14:textFill>
        </w:rPr>
        <w:t>富平县</w:t>
      </w:r>
      <w:r>
        <w:rPr>
          <w:rFonts w:hint="eastAsia" w:ascii="宋体" w:hAnsi="宋体" w:cs="宋体"/>
          <w:color w:val="000000" w:themeColor="text1"/>
          <w:szCs w:val="24"/>
          <w:highlight w:val="none"/>
          <w14:textFill>
            <w14:solidFill>
              <w14:schemeClr w14:val="tx1"/>
            </w14:solidFill>
          </w14:textFill>
        </w:rPr>
        <w:t xml:space="preserve">内，采购人指定地点。  </w:t>
      </w:r>
    </w:p>
    <w:p w14:paraId="6344D800">
      <w:pPr>
        <w:spacing w:line="360" w:lineRule="auto"/>
        <w:ind w:firstLine="360" w:firstLineChars="15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（1）乙方必须派人送货清点、移交、培训。不受理任何物流、邮寄供货业务。</w:t>
      </w:r>
    </w:p>
    <w:p w14:paraId="631F54AF">
      <w:pPr>
        <w:spacing w:line="360" w:lineRule="auto"/>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（2）本合同所有产品单件必须标明厂商、商标、型号、生产时间并附有效期内的检测报告并盖章。</w:t>
      </w:r>
    </w:p>
    <w:p w14:paraId="4400B1D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2、交货期：合同签订后</w:t>
      </w:r>
      <w:r>
        <w:rPr>
          <w:rFonts w:hint="eastAsia" w:ascii="宋体" w:hAnsi="宋体" w:cs="宋体"/>
          <w:color w:val="000000" w:themeColor="text1"/>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天内安装调试完毕。</w:t>
      </w:r>
    </w:p>
    <w:p w14:paraId="69B44187">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六、运输</w:t>
      </w:r>
    </w:p>
    <w:p w14:paraId="4342B48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1、运输由乙方负责，运杂费已包含在合同总价内，包括从产品供应地点所含的运输费、装卸费、仓储费、保险费等。</w:t>
      </w:r>
    </w:p>
    <w:p w14:paraId="7113983F">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2、乙方保证产品安全、按期运输到达甲方指定交货地点，在到达甲方地点并经甲方验收（安装）合格前发生的不可预见的风险均由乙方承担。</w:t>
      </w:r>
    </w:p>
    <w:p w14:paraId="17C48B7F">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七、乙方质量保证</w:t>
      </w:r>
    </w:p>
    <w:p w14:paraId="6A283C1C">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1</w:t>
      </w:r>
      <w:r>
        <w:rPr>
          <w:rFonts w:hint="eastAsia" w:ascii="宋体" w:hAnsi="宋体" w:cs="宋体"/>
          <w:b w:val="0"/>
          <w:bCs/>
          <w:color w:val="000000" w:themeColor="text1"/>
          <w:szCs w:val="24"/>
          <w:highlight w:val="none"/>
          <w:lang w:val="en-US" w:eastAsia="zh-CN"/>
          <w14:textFill>
            <w14:solidFill>
              <w14:schemeClr w14:val="tx1"/>
            </w14:solidFill>
          </w14:textFill>
        </w:rPr>
        <w:t>.本项目</w:t>
      </w:r>
      <w:r>
        <w:rPr>
          <w:rFonts w:hint="eastAsia" w:ascii="宋体" w:hAnsi="宋体" w:cs="宋体"/>
          <w:bCs/>
          <w:color w:val="000000" w:themeColor="text1"/>
          <w:szCs w:val="24"/>
          <w:highlight w:val="none"/>
          <w14:textFill>
            <w14:solidFill>
              <w14:schemeClr w14:val="tx1"/>
            </w14:solidFill>
          </w14:textFill>
        </w:rPr>
        <w:t>产品全套质保≥</w:t>
      </w:r>
      <w:r>
        <w:rPr>
          <w:rFonts w:hint="eastAsia" w:ascii="宋体" w:hAnsi="宋体" w:cs="宋体"/>
          <w:bCs/>
          <w:color w:val="000000" w:themeColor="text1"/>
          <w:szCs w:val="24"/>
          <w:highlight w:val="none"/>
          <w:u w:val="single"/>
          <w14:textFill>
            <w14:solidFill>
              <w14:schemeClr w14:val="tx1"/>
            </w14:solidFill>
          </w14:textFill>
        </w:rPr>
        <w:t xml:space="preserve"> 1 </w:t>
      </w:r>
      <w:r>
        <w:rPr>
          <w:rFonts w:hint="eastAsia" w:ascii="宋体" w:hAnsi="宋体" w:cs="宋体"/>
          <w:bCs/>
          <w:color w:val="000000" w:themeColor="text1"/>
          <w:szCs w:val="24"/>
          <w:highlight w:val="none"/>
          <w14:textFill>
            <w14:solidFill>
              <w14:schemeClr w14:val="tx1"/>
            </w14:solidFill>
          </w14:textFill>
        </w:rPr>
        <w:t>年；（若供应商承诺的质保时间超过招标文件要求的，按其承诺时间质保。执行其响应时间，若国家有明确规定且高于此质保期的，执行国家规定）。</w:t>
      </w:r>
    </w:p>
    <w:p w14:paraId="11F14FCB">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2</w:t>
      </w:r>
      <w:r>
        <w:rPr>
          <w:rFonts w:hint="eastAsia" w:ascii="宋体" w:hAnsi="宋体" w:cs="宋体"/>
          <w:b/>
          <w:bCs w:val="0"/>
          <w:color w:val="000000" w:themeColor="text1"/>
          <w:szCs w:val="24"/>
          <w:highlight w:val="none"/>
          <w:lang w:val="en-US" w:eastAsia="zh-CN"/>
          <w14:textFill>
            <w14:solidFill>
              <w14:schemeClr w14:val="tx1"/>
            </w14:solidFill>
          </w14:textFill>
        </w:rPr>
        <w:t>.</w:t>
      </w:r>
      <w:r>
        <w:rPr>
          <w:rFonts w:hint="eastAsia" w:ascii="宋体" w:hAnsi="宋体" w:cs="宋体"/>
          <w:bCs/>
          <w:color w:val="000000" w:themeColor="text1"/>
          <w:szCs w:val="24"/>
          <w:highlight w:val="none"/>
          <w14:textFill>
            <w14:solidFill>
              <w14:schemeClr w14:val="tx1"/>
            </w14:solidFill>
          </w14:textFill>
        </w:rPr>
        <w:t>供应商提供的产品及材料必须保证质量可靠，进货渠道正常，配置合理齐全，应全面满足招标文件的要求，招标文件未明确要求的内容，</w:t>
      </w:r>
      <w:r>
        <w:rPr>
          <w:rFonts w:hint="eastAsia" w:ascii="宋体" w:hAnsi="宋体" w:cs="宋体"/>
          <w:bCs/>
          <w:color w:val="000000" w:themeColor="text1"/>
          <w:szCs w:val="24"/>
          <w:highlight w:val="none"/>
          <w:lang w:val="en-US" w:eastAsia="zh-CN"/>
          <w14:textFill>
            <w14:solidFill>
              <w14:schemeClr w14:val="tx1"/>
            </w14:solidFill>
          </w14:textFill>
        </w:rPr>
        <w:t>供应商</w:t>
      </w:r>
      <w:r>
        <w:rPr>
          <w:rFonts w:hint="eastAsia" w:ascii="宋体" w:hAnsi="宋体" w:cs="宋体"/>
          <w:bCs/>
          <w:color w:val="000000" w:themeColor="text1"/>
          <w:szCs w:val="24"/>
          <w:highlight w:val="none"/>
          <w14:textFill>
            <w14:solidFill>
              <w14:schemeClr w14:val="tx1"/>
            </w14:solidFill>
          </w14:textFill>
        </w:rPr>
        <w:t>须按产品主流标准配置或以采购人的补充要求为准。所供产品工艺质量应严格按国家最新发布的规范标准执行，如发生质量问题由供应商承担全部责任。采购人使用产品过程中因产品质量、产品缺陷及安装质量等造成人身伤亡、财产损失的，由供应商负责解决并承担全部责任。</w:t>
      </w:r>
    </w:p>
    <w:p w14:paraId="4C53C0F5">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3</w:t>
      </w:r>
      <w:r>
        <w:rPr>
          <w:rFonts w:hint="eastAsia" w:ascii="宋体" w:hAnsi="宋体" w:cs="宋体"/>
          <w:bCs/>
          <w:color w:val="000000" w:themeColor="text1"/>
          <w:szCs w:val="24"/>
          <w:highlight w:val="none"/>
          <w:lang w:eastAsia="zh-CN"/>
          <w14:textFill>
            <w14:solidFill>
              <w14:schemeClr w14:val="tx1"/>
            </w14:solidFill>
          </w14:textFill>
        </w:rPr>
        <w:t>.</w:t>
      </w:r>
      <w:r>
        <w:rPr>
          <w:rFonts w:hint="eastAsia" w:ascii="宋体" w:hAnsi="宋体" w:cs="宋体"/>
          <w:bCs/>
          <w:color w:val="000000" w:themeColor="text1"/>
          <w:szCs w:val="24"/>
          <w:highlight w:val="none"/>
          <w14:textFill>
            <w14:solidFill>
              <w14:schemeClr w14:val="tx1"/>
            </w14:solidFill>
          </w14:textFill>
        </w:rPr>
        <w:t>免费维修或更换缺陷的货物或部件期限：设备出现故障时，乙方必须在接到故障报告后在</w:t>
      </w:r>
      <w:r>
        <w:rPr>
          <w:rFonts w:hint="eastAsia" w:ascii="宋体" w:hAnsi="宋体" w:cs="宋体"/>
          <w:bCs/>
          <w:color w:val="000000" w:themeColor="text1"/>
          <w:szCs w:val="24"/>
          <w:highlight w:val="none"/>
          <w:u w:val="single"/>
          <w14:textFill>
            <w14:solidFill>
              <w14:schemeClr w14:val="tx1"/>
            </w14:solidFill>
          </w14:textFill>
        </w:rPr>
        <w:t xml:space="preserve">   </w:t>
      </w:r>
      <w:r>
        <w:rPr>
          <w:rFonts w:hint="eastAsia" w:ascii="宋体" w:hAnsi="宋体" w:cs="宋体"/>
          <w:bCs/>
          <w:color w:val="000000" w:themeColor="text1"/>
          <w:szCs w:val="24"/>
          <w:highlight w:val="none"/>
          <w14:textFill>
            <w14:solidFill>
              <w14:schemeClr w14:val="tx1"/>
            </w14:solidFill>
          </w14:textFill>
        </w:rPr>
        <w:t>小时内维修工程师到达现场，排除故障的期限不得超过</w:t>
      </w:r>
      <w:r>
        <w:rPr>
          <w:rFonts w:hint="eastAsia" w:ascii="宋体" w:hAnsi="宋体" w:cs="宋体"/>
          <w:bCs/>
          <w:color w:val="000000" w:themeColor="text1"/>
          <w:szCs w:val="24"/>
          <w:highlight w:val="none"/>
          <w:u w:val="single"/>
          <w14:textFill>
            <w14:solidFill>
              <w14:schemeClr w14:val="tx1"/>
            </w14:solidFill>
          </w14:textFill>
        </w:rPr>
        <w:t xml:space="preserve">   </w:t>
      </w:r>
      <w:r>
        <w:rPr>
          <w:rFonts w:hint="eastAsia" w:ascii="宋体" w:hAnsi="宋体" w:cs="宋体"/>
          <w:bCs/>
          <w:color w:val="000000" w:themeColor="text1"/>
          <w:szCs w:val="24"/>
          <w:highlight w:val="none"/>
          <w14:textFill>
            <w14:solidFill>
              <w14:schemeClr w14:val="tx1"/>
            </w14:solidFill>
          </w14:textFill>
        </w:rPr>
        <w:t>小时，否则乙方需提供备用机供使用。</w:t>
      </w:r>
    </w:p>
    <w:p w14:paraId="441E4CB9">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4</w:t>
      </w:r>
      <w:r>
        <w:rPr>
          <w:rFonts w:hint="eastAsia" w:ascii="宋体" w:hAnsi="宋体" w:cs="宋体"/>
          <w:bCs/>
          <w:color w:val="000000" w:themeColor="text1"/>
          <w:szCs w:val="24"/>
          <w:highlight w:val="none"/>
          <w:lang w:eastAsia="zh-CN"/>
          <w14:textFill>
            <w14:solidFill>
              <w14:schemeClr w14:val="tx1"/>
            </w14:solidFill>
          </w14:textFill>
        </w:rPr>
        <w:t>.</w:t>
      </w:r>
      <w:r>
        <w:rPr>
          <w:rFonts w:hint="eastAsia" w:ascii="宋体" w:hAnsi="宋体" w:cs="宋体"/>
          <w:bCs/>
          <w:color w:val="000000" w:themeColor="text1"/>
          <w:szCs w:val="24"/>
          <w:highlight w:val="none"/>
          <w14:textFill>
            <w14:solidFill>
              <w14:schemeClr w14:val="tx1"/>
            </w14:solidFill>
          </w14:textFill>
        </w:rPr>
        <w:t>服务方式：现场服务，产品按照国家三包规定执行，提供终身技术支持。在质保期内，如果发生故障，供应商要调查故障原因，由供应商提供的产品出现的问题，供应商须免费修复直至满足最终验收指标和性能。</w:t>
      </w:r>
    </w:p>
    <w:p w14:paraId="59722741">
      <w:pPr>
        <w:adjustRightInd w:val="0"/>
        <w:snapToGrid w:val="0"/>
        <w:spacing w:line="360" w:lineRule="auto"/>
        <w:ind w:firstLine="480" w:firstLineChars="200"/>
        <w:rPr>
          <w:rFonts w:ascii="宋体" w:hAnsi="宋体" w:cs="宋体"/>
          <w:bCs/>
          <w:color w:val="000000" w:themeColor="text1"/>
          <w:szCs w:val="24"/>
          <w:highlight w:val="none"/>
          <w14:textFill>
            <w14:solidFill>
              <w14:schemeClr w14:val="tx1"/>
            </w14:solidFill>
          </w14:textFill>
        </w:rPr>
      </w:pPr>
      <w:r>
        <w:rPr>
          <w:rFonts w:hint="eastAsia" w:ascii="宋体" w:hAnsi="宋体" w:cs="宋体"/>
          <w:bCs/>
          <w:color w:val="000000" w:themeColor="text1"/>
          <w:szCs w:val="24"/>
          <w:highlight w:val="none"/>
          <w14:textFill>
            <w14:solidFill>
              <w14:schemeClr w14:val="tx1"/>
            </w14:solidFill>
          </w14:textFill>
        </w:rPr>
        <w:t>5</w:t>
      </w:r>
      <w:r>
        <w:rPr>
          <w:rFonts w:hint="eastAsia" w:ascii="宋体" w:hAnsi="宋体" w:cs="宋体"/>
          <w:bCs/>
          <w:color w:val="000000" w:themeColor="text1"/>
          <w:szCs w:val="24"/>
          <w:highlight w:val="none"/>
          <w:lang w:eastAsia="zh-CN"/>
          <w14:textFill>
            <w14:solidFill>
              <w14:schemeClr w14:val="tx1"/>
            </w14:solidFill>
          </w14:textFill>
        </w:rPr>
        <w:t>.</w:t>
      </w:r>
      <w:r>
        <w:rPr>
          <w:rFonts w:hint="eastAsia" w:ascii="宋体" w:hAnsi="宋体" w:cs="宋体"/>
          <w:bCs/>
          <w:color w:val="000000" w:themeColor="text1"/>
          <w:szCs w:val="24"/>
          <w:highlight w:val="none"/>
          <w14:textFill>
            <w14:solidFill>
              <w14:schemeClr w14:val="tx1"/>
            </w14:solidFill>
          </w14:textFill>
        </w:rPr>
        <w:t>在最终验收后的质量保证期内，供应商应对设计、工艺或材料等的缺陷而产生的故障负责（负责解决并承担全部费用）。质保期满后如出现此类问题亦应负责。</w:t>
      </w:r>
    </w:p>
    <w:p w14:paraId="0B58BE7C">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八、乙方售后服务</w:t>
      </w:r>
    </w:p>
    <w:p w14:paraId="669054AA">
      <w:pPr>
        <w:spacing w:line="360" w:lineRule="auto"/>
        <w:ind w:firstLine="480" w:firstLineChars="200"/>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w:t>
      </w:r>
      <w:r>
        <w:rPr>
          <w:rFonts w:hint="eastAsia" w:ascii="宋体" w:hAnsi="宋体" w:cs="宋体"/>
          <w:color w:val="000000" w:themeColor="text1"/>
          <w:szCs w:val="24"/>
          <w:highlight w:val="none"/>
          <w:lang w:eastAsia="zh-CN"/>
          <w14:textFill>
            <w14:solidFill>
              <w14:schemeClr w14:val="tx1"/>
            </w14:solidFill>
          </w14:textFill>
        </w:rPr>
        <w:t>、</w:t>
      </w:r>
      <w:r>
        <w:rPr>
          <w:rFonts w:hint="eastAsia" w:ascii="宋体" w:hAnsi="宋体" w:cs="宋体"/>
          <w:color w:val="000000" w:themeColor="text1"/>
          <w:szCs w:val="24"/>
          <w:highlight w:val="none"/>
          <w14:textFill>
            <w14:solidFill>
              <w14:schemeClr w14:val="tx1"/>
            </w14:solidFill>
          </w14:textFill>
        </w:rPr>
        <w:t>培训：为甲方提供涉及产品的使用范围、主要性能、技术指标、使用方法、注意事项和维护保养、贮存方法等方面的培训，并由乙方专业人员向客户提供技术支持。</w:t>
      </w:r>
    </w:p>
    <w:p w14:paraId="4A0CF1BF">
      <w:pPr>
        <w:spacing w:line="360" w:lineRule="auto"/>
        <w:ind w:firstLine="480" w:firstLineChars="200"/>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w:t>
      </w:r>
      <w:r>
        <w:rPr>
          <w:rFonts w:hint="eastAsia" w:ascii="宋体" w:hAnsi="宋体" w:cs="宋体"/>
          <w:color w:val="000000" w:themeColor="text1"/>
          <w:szCs w:val="24"/>
          <w:highlight w:val="none"/>
          <w:lang w:eastAsia="zh-CN"/>
          <w14:textFill>
            <w14:solidFill>
              <w14:schemeClr w14:val="tx1"/>
            </w14:solidFill>
          </w14:textFill>
        </w:rPr>
        <w:t>、</w:t>
      </w:r>
      <w:r>
        <w:rPr>
          <w:rFonts w:hint="eastAsia" w:ascii="宋体" w:hAnsi="宋体" w:cs="宋体"/>
          <w:color w:val="000000" w:themeColor="text1"/>
          <w:szCs w:val="24"/>
          <w:highlight w:val="none"/>
          <w14:textFill>
            <w14:solidFill>
              <w14:schemeClr w14:val="tx1"/>
            </w14:solidFill>
          </w14:textFill>
        </w:rPr>
        <w:t>售后服务工作程序</w:t>
      </w:r>
    </w:p>
    <w:p w14:paraId="6DA30D1E">
      <w:pPr>
        <w:spacing w:line="360" w:lineRule="auto"/>
        <w:ind w:firstLine="480" w:firstLineChars="200"/>
        <w:jc w:val="left"/>
        <w:textAlignment w:val="top"/>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售后服务电话：</w:t>
      </w:r>
      <w:r>
        <w:rPr>
          <w:rFonts w:hint="eastAsia" w:ascii="宋体" w:hAnsi="宋体" w:cs="宋体"/>
          <w:color w:val="000000" w:themeColor="text1"/>
          <w:szCs w:val="24"/>
          <w:highlight w:val="none"/>
          <w:u w:val="single"/>
          <w14:textFill>
            <w14:solidFill>
              <w14:schemeClr w14:val="tx1"/>
            </w14:solidFill>
          </w14:textFill>
        </w:rPr>
        <w:t xml:space="preserve">       </w:t>
      </w:r>
    </w:p>
    <w:p w14:paraId="233B24D9">
      <w:pPr>
        <w:spacing w:line="360" w:lineRule="auto"/>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（1）受理甲方售后要求，详细弄清问题所在，并给予明确答复，做电话记录。</w:t>
      </w:r>
    </w:p>
    <w:p w14:paraId="2F015081">
      <w:pPr>
        <w:spacing w:line="360" w:lineRule="auto"/>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（2）在接到电话</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小时内，安排人员，制定服务计划（与投标文件一致）。</w:t>
      </w:r>
    </w:p>
    <w:p w14:paraId="607A3D21">
      <w:pPr>
        <w:spacing w:line="360" w:lineRule="auto"/>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 （3）在接到电话</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小时内赶到甲方位置，对故障原因内予以解决（与投标文件一致）。</w:t>
      </w:r>
    </w:p>
    <w:p w14:paraId="4C87F3C7">
      <w:pPr>
        <w:spacing w:line="360" w:lineRule="auto"/>
        <w:ind w:firstLine="480" w:firstLineChars="200"/>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 保修期（质保期）内主要提供定期的客户查询，询问器材的使用情况、完好情况。一般每1－2个月一次。确有质量问题的，按第八条2款进行服务，服务免费。</w:t>
      </w:r>
    </w:p>
    <w:p w14:paraId="169FFC80">
      <w:pPr>
        <w:spacing w:line="360" w:lineRule="auto"/>
        <w:ind w:firstLine="480" w:firstLineChars="200"/>
        <w:jc w:val="left"/>
        <w:textAlignment w:val="top"/>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 保修期（质保期）外乙方应继续按第八条规定提供服务，安排销售人员对甲方进行走访，维修只收工本费。对临界使用寿命的或严重毁损的器材提醒及时报废。</w:t>
      </w:r>
    </w:p>
    <w:p w14:paraId="12A680DC">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九、乙方提供技术与服务</w:t>
      </w:r>
    </w:p>
    <w:p w14:paraId="18AA40E8">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1、随同货物提供相应的中文技术文件</w:t>
      </w:r>
      <w:r>
        <w:rPr>
          <w:rFonts w:hint="eastAsia" w:ascii="宋体" w:hAnsi="宋体" w:cs="宋体"/>
          <w:color w:val="000000" w:themeColor="text1"/>
          <w:szCs w:val="24"/>
          <w:highlight w:val="none"/>
          <w14:textFill>
            <w14:solidFill>
              <w14:schemeClr w14:val="tx1"/>
            </w14:solidFill>
          </w14:textFill>
        </w:rPr>
        <w:t>（包括产品合格证、装箱清单、操作手册、使用说明等资料）；</w:t>
      </w:r>
    </w:p>
    <w:p w14:paraId="5688B49C">
      <w:pPr>
        <w:spacing w:line="360" w:lineRule="auto"/>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2、现场安装、调试、试运行技术保障服务； </w:t>
      </w:r>
    </w:p>
    <w:p w14:paraId="5585A494">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十、违约责任</w:t>
      </w:r>
    </w:p>
    <w:p w14:paraId="0307AECA">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1、按《中华人民共和国民法典》中的相关条款执行。</w:t>
      </w:r>
    </w:p>
    <w:p w14:paraId="58C939DF">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14:paraId="3ABE0C96">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3、交货期每逾期一天，乙方应向甲方支付合同总价款的5‰违约金。逾期超过15日的，甲方有</w:t>
      </w:r>
      <w:r>
        <w:rPr>
          <w:rFonts w:hint="eastAsia" w:ascii="宋体" w:hAnsi="宋体" w:cs="宋体"/>
          <w:color w:val="000000" w:themeColor="text1"/>
          <w:szCs w:val="24"/>
          <w:highlight w:val="none"/>
          <w:lang w:val="en-US" w:eastAsia="zh-CN"/>
          <w14:textFill>
            <w14:solidFill>
              <w14:schemeClr w14:val="tx1"/>
            </w14:solidFill>
          </w14:textFill>
        </w:rPr>
        <w:t>权</w:t>
      </w:r>
      <w:r>
        <w:rPr>
          <w:rFonts w:hint="eastAsia" w:ascii="宋体" w:hAnsi="宋体" w:cs="宋体"/>
          <w:color w:val="000000" w:themeColor="text1"/>
          <w:szCs w:val="24"/>
          <w:highlight w:val="none"/>
          <w14:textFill>
            <w14:solidFill>
              <w14:schemeClr w14:val="tx1"/>
            </w14:solidFill>
          </w14:textFill>
        </w:rPr>
        <w:t>单方面解除本合同，乙方除退还甲方已支付全部费用外还应按照合同总价的20%向甲方支付违约金。违约金不足以弥补损失的，乙方应予以补足。</w:t>
      </w:r>
    </w:p>
    <w:p w14:paraId="27F5A88A">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十一、验收</w:t>
      </w:r>
    </w:p>
    <w:p w14:paraId="164F8C0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1、产品到达甲方指定地点后，甲方根据合同约定，对产品进行外观验收、确认产品的产地、规格、型号和数量。</w:t>
      </w:r>
      <w:r>
        <w:rPr>
          <w:rFonts w:hint="eastAsia" w:ascii="宋体" w:hAnsi="宋体" w:cs="宋体"/>
          <w:bCs/>
          <w:color w:val="000000" w:themeColor="text1"/>
          <w:szCs w:val="24"/>
          <w:highlight w:val="none"/>
          <w14:textFill>
            <w14:solidFill>
              <w14:schemeClr w14:val="tx1"/>
            </w14:solidFill>
          </w14:textFill>
        </w:rPr>
        <w:t>器材</w:t>
      </w:r>
      <w:r>
        <w:rPr>
          <w:rFonts w:hint="eastAsia" w:ascii="宋体" w:hAnsi="宋体" w:cs="宋体"/>
          <w:color w:val="000000" w:themeColor="text1"/>
          <w:szCs w:val="24"/>
          <w:highlight w:val="none"/>
          <w14:textFill>
            <w14:solidFill>
              <w14:schemeClr w14:val="tx1"/>
            </w14:solidFill>
          </w14:textFill>
        </w:rPr>
        <w:t>所有产品外包装箱、单个产品包装盒上必须印制或粘贴下列基本信息：产品生产厂家、生产日期、有效期、生产厂家联系人、联系电话；代理厂商联系人、联系电话、售后联系人、联系方式。</w:t>
      </w:r>
    </w:p>
    <w:p w14:paraId="04BABBF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2、产品安装、调试并正常运行后，由乙方进行自检合格后，准备验收文件，并书面通知甲方；</w:t>
      </w:r>
    </w:p>
    <w:p w14:paraId="0ACA802D">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3、甲方确认乙方的自检内容后（必要时请有关专家）进行系统验收，填写项目验收单，作为对设备的最终认可；</w:t>
      </w:r>
    </w:p>
    <w:p w14:paraId="15A3F8B8">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4、乙方向甲方提交设备实施过程中的所有资料，以便甲方日后管理和维护。</w:t>
      </w:r>
    </w:p>
    <w:p w14:paraId="4E89716D">
      <w:pPr>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5、验收依据：</w:t>
      </w:r>
    </w:p>
    <w:p w14:paraId="5B158E0D">
      <w:pPr>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（1）合同文本及合同补充文件（条款）；</w:t>
      </w:r>
    </w:p>
    <w:p w14:paraId="5B06ED72">
      <w:pPr>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（2）产品的合法来源渠道证明文件、响应功能证明材料；</w:t>
      </w:r>
    </w:p>
    <w:p w14:paraId="56C8723C">
      <w:pPr>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（3）招标文件；</w:t>
      </w:r>
    </w:p>
    <w:p w14:paraId="3B17372E">
      <w:pPr>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（4）中标单位的投标文件；</w:t>
      </w:r>
    </w:p>
    <w:p w14:paraId="0AFF4E9A">
      <w:pPr>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（5）货物清单；</w:t>
      </w:r>
    </w:p>
    <w:p w14:paraId="6575F289">
      <w:pPr>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（6）生产厂家的企业资质、货物的执行标准。</w:t>
      </w:r>
    </w:p>
    <w:p w14:paraId="0F2606E9">
      <w:pPr>
        <w:pStyle w:val="2"/>
        <w:spacing w:line="360" w:lineRule="auto"/>
        <w:ind w:firstLine="354" w:firstLineChars="147"/>
        <w:rPr>
          <w:rFonts w:ascii="宋体" w:hAnsi="宋体" w:cs="宋体"/>
          <w:bCs/>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十二、技术成果</w:t>
      </w:r>
    </w:p>
    <w:p w14:paraId="40E3D4BD">
      <w:pPr>
        <w:tabs>
          <w:tab w:val="left" w:pos="480"/>
        </w:tabs>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本项目采购形成的技术成果归采购人所有。</w:t>
      </w:r>
    </w:p>
    <w:p w14:paraId="7F65240F">
      <w:pPr>
        <w:pStyle w:val="2"/>
        <w:spacing w:line="360" w:lineRule="auto"/>
        <w:ind w:firstLine="354" w:firstLineChars="147"/>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 xml:space="preserve">十三、知识产权及专利权 </w:t>
      </w:r>
    </w:p>
    <w:p w14:paraId="662545A3">
      <w:pPr>
        <w:tabs>
          <w:tab w:val="left" w:pos="480"/>
        </w:tabs>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人应当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3EED7786">
      <w:pPr>
        <w:spacing w:line="360" w:lineRule="auto"/>
        <w:ind w:firstLine="482" w:firstLineChars="200"/>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十四、保密责任</w:t>
      </w:r>
    </w:p>
    <w:p w14:paraId="370F2C7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双方均应遵守《中华人民共和国保守国家秘密法》和其它相关规定，妥善保管对方提供的资料，保守对方的各项秘密，保护对方的知识产权；未经对方许可，不得利用知悉的对方资料和成果为自己或第三方谋取利益。</w:t>
      </w:r>
    </w:p>
    <w:p w14:paraId="5C28BFF1">
      <w:pPr>
        <w:spacing w:line="360" w:lineRule="auto"/>
        <w:ind w:firstLine="482" w:firstLineChars="200"/>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十五、通知与送达</w:t>
      </w:r>
    </w:p>
    <w:p w14:paraId="2258790A">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1、甲乙双方应当在3天内将与合同有关的通知、批准、证明、证书、指示、指令、要求、请求、同意、意见、确定和决定等书面函件送达对方当事人。</w:t>
      </w:r>
    </w:p>
    <w:p w14:paraId="37282B1B">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1B0A86AC">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3、甲乙双方应当及时签收另一方送达至送达地点和指定接收人的来往信函。拒不签收的，由此增加的费用和（或）延误的交货期由拒绝接收一方承担。</w:t>
      </w:r>
    </w:p>
    <w:p w14:paraId="7DDD427B">
      <w:pPr>
        <w:spacing w:line="360" w:lineRule="auto"/>
        <w:ind w:firstLine="482" w:firstLineChars="200"/>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十六、合同争议解决的方式</w:t>
      </w:r>
    </w:p>
    <w:p w14:paraId="2C4C6C4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本合同在履行过程中发生的争议，由甲、乙方当事人协商解决；也可由当地工商行政管理部门调解；协商或调解不成的按以下第2种方式解决；</w:t>
      </w:r>
    </w:p>
    <w:p w14:paraId="0AE1F852">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1、提交</w:t>
      </w:r>
      <w:r>
        <w:rPr>
          <w:rFonts w:hint="eastAsia" w:ascii="宋体" w:hAnsi="宋体" w:cs="宋体"/>
          <w:color w:val="000000" w:themeColor="text1"/>
          <w:szCs w:val="24"/>
          <w:highlight w:val="none"/>
          <w:u w:val="single"/>
          <w:lang w:val="en-US" w:eastAsia="zh-CN"/>
          <w14:textFill>
            <w14:solidFill>
              <w14:schemeClr w14:val="tx1"/>
            </w14:solidFill>
          </w14:textFill>
        </w:rPr>
        <w:t xml:space="preserve">   /     </w:t>
      </w:r>
      <w:r>
        <w:rPr>
          <w:rFonts w:hint="eastAsia" w:ascii="宋体" w:hAnsi="宋体" w:cs="宋体"/>
          <w:color w:val="000000" w:themeColor="text1"/>
          <w:szCs w:val="24"/>
          <w:highlight w:val="none"/>
          <w14:textFill>
            <w14:solidFill>
              <w14:schemeClr w14:val="tx1"/>
            </w14:solidFill>
          </w14:textFill>
        </w:rPr>
        <w:t>仲裁委员会仲裁；</w:t>
      </w:r>
    </w:p>
    <w:p w14:paraId="1A001B30">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2、依法向甲方所在地人民法院起诉。</w:t>
      </w:r>
    </w:p>
    <w:p w14:paraId="111FB929">
      <w:pPr>
        <w:spacing w:line="360" w:lineRule="auto"/>
        <w:ind w:firstLine="482" w:firstLineChars="20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十七、其他事项</w:t>
      </w:r>
    </w:p>
    <w:p w14:paraId="090F20A1">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1、招标文件、投标文件、澄清表（函）、合同附件均成为合同不可分割的部分。</w:t>
      </w:r>
    </w:p>
    <w:p w14:paraId="246385F3">
      <w:pPr>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2、合同未尽事宜，由甲、乙双方协商，另行签订补充合同，为本合同有效组成部分。</w:t>
      </w:r>
    </w:p>
    <w:p w14:paraId="19167D5E">
      <w:pPr>
        <w:spacing w:line="360" w:lineRule="auto"/>
        <w:ind w:firstLine="360" w:firstLineChars="15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本合同一式肆份，甲方、乙方各执贰份。各方签字盖章后生效，合同执行完毕自动终止。（合同的服务承诺则长期有效）。</w:t>
      </w:r>
    </w:p>
    <w:tbl>
      <w:tblPr>
        <w:tblStyle w:val="4"/>
        <w:tblW w:w="9610" w:type="dxa"/>
        <w:tblInd w:w="-295" w:type="dxa"/>
        <w:tblLayout w:type="fixed"/>
        <w:tblCellMar>
          <w:top w:w="0" w:type="dxa"/>
          <w:left w:w="108" w:type="dxa"/>
          <w:bottom w:w="0" w:type="dxa"/>
          <w:right w:w="108" w:type="dxa"/>
        </w:tblCellMar>
      </w:tblPr>
      <w:tblGrid>
        <w:gridCol w:w="4555"/>
        <w:gridCol w:w="5055"/>
      </w:tblGrid>
      <w:tr w14:paraId="7620AA54">
        <w:tblPrEx>
          <w:tblCellMar>
            <w:top w:w="0" w:type="dxa"/>
            <w:left w:w="108" w:type="dxa"/>
            <w:bottom w:w="0" w:type="dxa"/>
            <w:right w:w="108" w:type="dxa"/>
          </w:tblCellMar>
        </w:tblPrEx>
        <w:trPr>
          <w:trHeight w:val="6055" w:hRule="atLeast"/>
        </w:trPr>
        <w:tc>
          <w:tcPr>
            <w:tcW w:w="4555" w:type="dxa"/>
          </w:tcPr>
          <w:p w14:paraId="0ED43A92">
            <w:pPr>
              <w:adjustRightInd w:val="0"/>
              <w:snapToGrid w:val="0"/>
              <w:spacing w:line="360" w:lineRule="auto"/>
              <w:rPr>
                <w:b/>
                <w:color w:val="000000" w:themeColor="text1"/>
                <w:highlight w:val="none"/>
                <w14:textFill>
                  <w14:solidFill>
                    <w14:schemeClr w14:val="tx1"/>
                  </w14:solidFill>
                </w14:textFill>
              </w:rPr>
            </w:pPr>
            <w:r>
              <w:rPr>
                <w:rFonts w:hint="eastAsia"/>
                <w:b/>
                <w:color w:val="000000" w:themeColor="text1"/>
                <w:kern w:val="0"/>
                <w:highlight w:val="none"/>
                <w14:textFill>
                  <w14:solidFill>
                    <w14:schemeClr w14:val="tx1"/>
                  </w14:solidFill>
                </w14:textFill>
              </w:rPr>
              <w:t>甲方：</w:t>
            </w:r>
          </w:p>
          <w:p w14:paraId="7ED7A816">
            <w:pPr>
              <w:adjustRightInd w:val="0"/>
              <w:snapToGrid w:val="0"/>
              <w:spacing w:line="360" w:lineRule="auto"/>
              <w:rPr>
                <w:rFonts w:hint="eastAsia" w:eastAsia="宋体"/>
                <w:color w:val="000000" w:themeColor="text1"/>
                <w:kern w:val="0"/>
                <w:highlight w:val="none"/>
                <w:lang w:eastAsia="zh-CN"/>
                <w14:textFill>
                  <w14:solidFill>
                    <w14:schemeClr w14:val="tx1"/>
                  </w14:solidFill>
                </w14:textFill>
              </w:rPr>
            </w:pPr>
            <w:r>
              <w:rPr>
                <w:rFonts w:hint="eastAsia" w:ascii="Arial" w:cs="Arial"/>
                <w:color w:val="000000" w:themeColor="text1"/>
                <w:kern w:val="0"/>
                <w:highlight w:val="none"/>
                <w14:textFill>
                  <w14:solidFill>
                    <w14:schemeClr w14:val="tx1"/>
                  </w14:solidFill>
                </w14:textFill>
              </w:rPr>
              <w:t>名称：</w:t>
            </w:r>
            <w:r>
              <w:rPr>
                <w:rFonts w:hint="eastAsia" w:ascii="Arial" w:cs="Arial"/>
                <w:color w:val="000000" w:themeColor="text1"/>
                <w:kern w:val="0"/>
                <w:highlight w:val="none"/>
                <w:lang w:val="en-US" w:eastAsia="zh-CN"/>
                <w14:textFill>
                  <w14:solidFill>
                    <w14:schemeClr w14:val="tx1"/>
                  </w14:solidFill>
                </w14:textFill>
              </w:rPr>
              <w:t xml:space="preserve"> </w:t>
            </w:r>
          </w:p>
          <w:p w14:paraId="325844E9">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地址：</w:t>
            </w:r>
          </w:p>
          <w:p w14:paraId="7F586E4A">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法定代表人：</w:t>
            </w:r>
          </w:p>
          <w:p w14:paraId="7E8C104E">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委托代理人：</w:t>
            </w:r>
          </w:p>
          <w:p w14:paraId="5E5A7140">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电话：</w:t>
            </w:r>
          </w:p>
          <w:p w14:paraId="4EB79A43">
            <w:pPr>
              <w:spacing w:line="360" w:lineRule="auto"/>
              <w:rPr>
                <w:rFonts w:ascii="宋体" w:hAnsi="宋体" w:cs="宋体"/>
                <w:color w:val="000000" w:themeColor="text1"/>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开户银行：</w:t>
            </w:r>
          </w:p>
          <w:p w14:paraId="74A5D966">
            <w:pPr>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开户账号：</w:t>
            </w:r>
          </w:p>
          <w:p w14:paraId="19920ED3">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传真：</w:t>
            </w:r>
          </w:p>
          <w:p w14:paraId="134F765E">
            <w:pPr>
              <w:adjustRightInd w:val="0"/>
              <w:snapToGrid w:val="0"/>
              <w:spacing w:line="360" w:lineRule="auto"/>
              <w:rPr>
                <w:b/>
                <w:color w:val="000000" w:themeColor="text1"/>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日期：</w:t>
            </w:r>
            <w:r>
              <w:rPr>
                <w:color w:val="000000" w:themeColor="text1"/>
                <w:kern w:val="0"/>
                <w:highlight w:val="none"/>
                <w14:textFill>
                  <w14:solidFill>
                    <w14:schemeClr w14:val="tx1"/>
                  </w14:solidFill>
                </w14:textFill>
              </w:rPr>
              <w:t xml:space="preserve"> </w:t>
            </w:r>
            <w:r>
              <w:rPr>
                <w:rFonts w:hint="eastAsia"/>
                <w:color w:val="000000" w:themeColor="text1"/>
                <w:kern w:val="0"/>
                <w:highlight w:val="none"/>
                <w14:textFill>
                  <w14:solidFill>
                    <w14:schemeClr w14:val="tx1"/>
                  </w14:solidFill>
                </w14:textFill>
              </w:rPr>
              <w:t xml:space="preserve">  年</w:t>
            </w:r>
            <w:r>
              <w:rPr>
                <w:color w:val="000000" w:themeColor="text1"/>
                <w:kern w:val="0"/>
                <w:highlight w:val="none"/>
                <w14:textFill>
                  <w14:solidFill>
                    <w14:schemeClr w14:val="tx1"/>
                  </w14:solidFill>
                </w14:textFill>
              </w:rPr>
              <w:t xml:space="preserve"> </w:t>
            </w:r>
            <w:r>
              <w:rPr>
                <w:rFonts w:hint="eastAsia"/>
                <w:color w:val="000000" w:themeColor="text1"/>
                <w:kern w:val="0"/>
                <w:highlight w:val="none"/>
                <w14:textFill>
                  <w14:solidFill>
                    <w14:schemeClr w14:val="tx1"/>
                  </w14:solidFill>
                </w14:textFill>
              </w:rPr>
              <w:t xml:space="preserve"> 月</w:t>
            </w:r>
            <w:r>
              <w:rPr>
                <w:color w:val="000000" w:themeColor="text1"/>
                <w:kern w:val="0"/>
                <w:highlight w:val="none"/>
                <w14:textFill>
                  <w14:solidFill>
                    <w14:schemeClr w14:val="tx1"/>
                  </w14:solidFill>
                </w14:textFill>
              </w:rPr>
              <w:t xml:space="preserve"> </w:t>
            </w:r>
            <w:r>
              <w:rPr>
                <w:rFonts w:hint="eastAsia"/>
                <w:color w:val="000000" w:themeColor="text1"/>
                <w:kern w:val="0"/>
                <w:highlight w:val="none"/>
                <w14:textFill>
                  <w14:solidFill>
                    <w14:schemeClr w14:val="tx1"/>
                  </w14:solidFill>
                </w14:textFill>
              </w:rPr>
              <w:t xml:space="preserve"> 日</w:t>
            </w:r>
          </w:p>
        </w:tc>
        <w:tc>
          <w:tcPr>
            <w:tcW w:w="5055" w:type="dxa"/>
          </w:tcPr>
          <w:p w14:paraId="6A7CB316">
            <w:pPr>
              <w:adjustRightInd w:val="0"/>
              <w:snapToGrid w:val="0"/>
              <w:spacing w:line="360" w:lineRule="auto"/>
              <w:rPr>
                <w:b/>
                <w:color w:val="000000" w:themeColor="text1"/>
                <w:highlight w:val="none"/>
                <w14:textFill>
                  <w14:solidFill>
                    <w14:schemeClr w14:val="tx1"/>
                  </w14:solidFill>
                </w14:textFill>
              </w:rPr>
            </w:pPr>
            <w:r>
              <w:rPr>
                <w:rFonts w:hint="eastAsia"/>
                <w:b/>
                <w:color w:val="000000" w:themeColor="text1"/>
                <w:kern w:val="0"/>
                <w:highlight w:val="none"/>
                <w14:textFill>
                  <w14:solidFill>
                    <w14:schemeClr w14:val="tx1"/>
                  </w14:solidFill>
                </w14:textFill>
              </w:rPr>
              <w:t>乙方：</w:t>
            </w:r>
          </w:p>
          <w:p w14:paraId="4CEF4302">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名称：</w:t>
            </w:r>
          </w:p>
          <w:p w14:paraId="11EA92C6">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地址：</w:t>
            </w:r>
          </w:p>
          <w:p w14:paraId="6F0D70BF">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法定代表人：</w:t>
            </w:r>
          </w:p>
          <w:p w14:paraId="71AB3FC7">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委托代理人：</w:t>
            </w:r>
          </w:p>
          <w:p w14:paraId="51BAA0D0">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电话：</w:t>
            </w:r>
          </w:p>
          <w:p w14:paraId="7FB83E93">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开户银行：</w:t>
            </w:r>
          </w:p>
          <w:p w14:paraId="384AF129">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开户账号：</w:t>
            </w:r>
          </w:p>
          <w:p w14:paraId="2E12727C">
            <w:pPr>
              <w:adjustRightInd w:val="0"/>
              <w:snapToGrid w:val="0"/>
              <w:spacing w:line="360" w:lineRule="auto"/>
              <w:rPr>
                <w:color w:val="000000" w:themeColor="text1"/>
                <w:kern w:val="0"/>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传真：</w:t>
            </w:r>
          </w:p>
          <w:p w14:paraId="14BEC88E">
            <w:pPr>
              <w:adjustRightInd w:val="0"/>
              <w:snapToGrid w:val="0"/>
              <w:spacing w:line="360" w:lineRule="auto"/>
              <w:rPr>
                <w:b/>
                <w:color w:val="000000" w:themeColor="text1"/>
                <w:highlight w:val="none"/>
                <w14:textFill>
                  <w14:solidFill>
                    <w14:schemeClr w14:val="tx1"/>
                  </w14:solidFill>
                </w14:textFill>
              </w:rPr>
            </w:pPr>
            <w:r>
              <w:rPr>
                <w:rFonts w:hint="eastAsia"/>
                <w:color w:val="000000" w:themeColor="text1"/>
                <w:kern w:val="0"/>
                <w:highlight w:val="none"/>
                <w14:textFill>
                  <w14:solidFill>
                    <w14:schemeClr w14:val="tx1"/>
                  </w14:solidFill>
                </w14:textFill>
              </w:rPr>
              <w:t>日期：   年  月  日</w:t>
            </w:r>
          </w:p>
        </w:tc>
      </w:tr>
    </w:tbl>
    <w:p w14:paraId="5E3341F0">
      <w:pPr>
        <w:spacing w:line="360" w:lineRule="auto"/>
        <w:rPr>
          <w:rFonts w:ascii="宋体" w:hAnsi="宋体" w:cs="宋体"/>
          <w:b/>
          <w:color w:val="000000" w:themeColor="text1"/>
          <w:szCs w:val="24"/>
          <w:highlight w:val="none"/>
          <w14:textFill>
            <w14:solidFill>
              <w14:schemeClr w14:val="tx1"/>
            </w14:solidFill>
          </w14:textFill>
        </w:rPr>
      </w:pPr>
    </w:p>
    <w:bookmarkEnd w:id="1"/>
    <w:bookmarkEnd w:id="2"/>
    <w:bookmarkEnd w:id="3"/>
    <w:bookmarkEnd w:id="4"/>
    <w:bookmarkEnd w:id="5"/>
    <w:bookmarkEnd w:id="6"/>
    <w:bookmarkEnd w:id="7"/>
    <w:bookmarkEnd w:id="8"/>
    <w:bookmarkEnd w:id="9"/>
    <w:bookmarkEnd w:id="10"/>
    <w:bookmarkEnd w:id="11"/>
    <w:bookmarkEnd w:id="12"/>
    <w:p w14:paraId="6F7583E7">
      <w:pPr>
        <w:rPr>
          <w:rFonts w:ascii="宋体" w:hAnsi="宋体" w:cs="宋体"/>
          <w:color w:val="000000" w:themeColor="text1"/>
          <w:highlight w:val="none"/>
          <w14:textFill>
            <w14:solidFill>
              <w14:schemeClr w14:val="tx1"/>
            </w14:solidFill>
          </w14:textFill>
        </w:rPr>
      </w:pPr>
    </w:p>
    <w:p w14:paraId="58197E47">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7D2B93"/>
    <w:rsid w:val="17B752F6"/>
    <w:rsid w:val="197D2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1"/>
    <w:pPr>
      <w:keepNext/>
      <w:keepLines/>
      <w:spacing w:before="340" w:after="330" w:line="560" w:lineRule="exact"/>
      <w:jc w:val="center"/>
      <w:outlineLvl w:val="0"/>
    </w:pPr>
    <w:rPr>
      <w:b/>
      <w:bCs/>
      <w:kern w:val="44"/>
      <w:sz w:val="36"/>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2025-09-30T05:15:00Z</dcterms:created>
  <dc:creator>A</dc:creator>
  <cp:lastModifiedBy>A</cp:lastModifiedBy>
  <dcterms:modified xsi:type="dcterms:W3CDTF">2025-09-30T05:16:44Z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135C5B77DF454F38A4D02966EB5D1F06_11</vt:lpwstr>
  </property>
  <property fmtid="{D5CDD505-2E9C-101B-9397-08002B2CF9AE}" pid="4" name="KSOTemplateDocerSaveRecord">
    <vt:lpwstr>eyJoZGlkIjoiN2U0ZjkzN2MxNjBiMzg5ZjBlNjg0ZTk0MzIxMDQzZGUiLCJ1c2VySWQiOiIyMzc4MTk3NjYifQ==</vt:lpwstr>
  </property>
</Properties>
</file>