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版本号：HSZ2025—CGZB—04420250910001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迤山中学校园及公寓保洁服务项目(劳务派遣)</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HSZ2025—CGZB—044</w:t>
      </w:r>
      <w:r>
        <w:br/>
      </w:r>
      <w:r>
        <w:br/>
      </w:r>
      <w:r>
        <w:br/>
      </w:r>
    </w:p>
    <w:p>
      <w:pPr>
        <w:pStyle w:val="null3"/>
        <w:jc w:val="center"/>
        <w:outlineLvl w:val="2"/>
      </w:pPr>
      <w:r>
        <w:rPr>
          <w:rFonts w:ascii="仿宋_GB2312" w:hAnsi="仿宋_GB2312" w:cs="仿宋_GB2312" w:eastAsia="仿宋_GB2312"/>
          <w:sz w:val="28"/>
          <w:b/>
        </w:rPr>
        <w:t>富平县迤山中学</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富平县迤山中学</w:t>
      </w:r>
      <w:r>
        <w:rPr>
          <w:rFonts w:ascii="仿宋_GB2312" w:hAnsi="仿宋_GB2312" w:cs="仿宋_GB2312" w:eastAsia="仿宋_GB2312"/>
        </w:rPr>
        <w:t>委托，拟对</w:t>
      </w:r>
      <w:r>
        <w:rPr>
          <w:rFonts w:ascii="仿宋_GB2312" w:hAnsi="仿宋_GB2312" w:cs="仿宋_GB2312" w:eastAsia="仿宋_GB2312"/>
        </w:rPr>
        <w:t>迤山中学校园及公寓保洁服务项目(劳务派遣)</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HSZ2025—CGZB—044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迤山中学校园及公寓保洁服务项目(劳务派遣)</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校园及公寓楼保洁服务、后勤管理服务等。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采购包1（富平县迤山中学校园及公寓保洁服务项目(劳务派遣)）：属于专门面向中小企业采购。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提供法定代表人授权委托书（附法定代表人、被授权人身份证复印件）；法定代表人参加投标只须提供法定代表人身份证明（附法定代表人身份证复印件）：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3、提供有效的《人力资源服务许可证》或《劳务派遣经营许可证》：提供有效的《人力资源服务许可证》或《劳务派遣经营许可证》；</w:t>
      </w:r>
    </w:p>
    <w:p>
      <w:pPr>
        <w:pStyle w:val="null3"/>
      </w:pPr>
      <w:r>
        <w:rPr>
          <w:rFonts w:ascii="仿宋_GB2312" w:hAnsi="仿宋_GB2312" w:cs="仿宋_GB2312" w:eastAsia="仿宋_GB2312"/>
        </w:rPr>
        <w:t>4、提供2024年度经审计的财务报告或开标前近三个月内基本开户银行开具的资信证明（成立时间至提交磋商响应文件截止时间不足一年的可提供成立后任意时段的财务报表）：提供2024年度经审计的财务报告或开标前近三个月内基本开户银行开具的资信证明（成立时间至提交磋商响应文件截止时间不足一年的可提供成立后任意时段的财务报表）；</w:t>
      </w:r>
    </w:p>
    <w:p>
      <w:pPr>
        <w:pStyle w:val="null3"/>
      </w:pPr>
      <w:r>
        <w:rPr>
          <w:rFonts w:ascii="仿宋_GB2312" w:hAnsi="仿宋_GB2312" w:cs="仿宋_GB2312" w:eastAsia="仿宋_GB2312"/>
        </w:rPr>
        <w:t>5、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6、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7、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8、提供近三年内在经营活动中无重大违法记录的书面声明：提供近三年内在经营活动中无重大违法记录的书面声明；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9、提供磋商保证金银行转账凭证及基本账户信息复印件或金融机构、担保机构出具的保函复印件，复印件均须加盖公章：提供磋商保证金银行转账凭证及基本账户信息复印件或金融机构、担保机构出具的保函复印件，复印件均须加盖公章；</w:t>
      </w:r>
    </w:p>
    <w:p>
      <w:pPr>
        <w:pStyle w:val="null3"/>
      </w:pPr>
      <w:r>
        <w:rPr>
          <w:rFonts w:ascii="仿宋_GB2312" w:hAnsi="仿宋_GB2312" w:cs="仿宋_GB2312" w:eastAsia="仿宋_GB2312"/>
        </w:rPr>
        <w:t>10、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11、提供具有履行本合同所必需的设备和专业技术能力的说明及承诺：提供具有履行本合同所必需的设备和专业技术能力的说明及承诺；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12、本项目专门面向中小企业采购，供应商须提供《中小企业声明函》： 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富平县迤山中学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富平县迤山路24号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0913-8230229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招标代理服务费参照国家计委印发《招标代理服务收费管理暂行办法》的通知（计价格[2002]1980号）计算，按照《国家发展改革委办公厅关于招标代理服务收费有关问题的通知》（发改办价格[2003]857号）规定向成交供应商收取。若本次招标失败（非代理机构原因），招标代理服务费由采购人支付。具体金额以代理机构开具的税票金额为准，在领取成交通知书时向采购代理机构一次付清（现金或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富平县迤山中学</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富平县迤山中学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富平县迤山中学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校园及公寓楼保洁服务、后勤管理服务等。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497,000.00</w:t>
      </w:r>
    </w:p>
    <w:p>
      <w:pPr>
        <w:pStyle w:val="null3"/>
      </w:pPr>
      <w:r>
        <w:rPr>
          <w:rFonts w:ascii="仿宋_GB2312" w:hAnsi="仿宋_GB2312" w:cs="仿宋_GB2312" w:eastAsia="仿宋_GB2312"/>
        </w:rPr>
        <w:t>采购包最高限价（元）: 497,000.00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富平县迤山中学校园及公寓保洁服务项目(劳务派遣)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标的名称：富平县迤山中学校园及公寓保洁服务项目(劳务派遣)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315" w:firstLine="480"/>
              <w:jc w:val="both"/>
            </w:pPr>
            <w:r>
              <w:rPr>
                <w:rFonts w:ascii="仿宋_GB2312" w:hAnsi="仿宋_GB2312" w:cs="仿宋_GB2312" w:eastAsia="仿宋_GB2312"/>
              </w:rPr>
              <w:t>（一）宿舍管理</w:t>
            </w:r>
          </w:p>
          <w:p>
            <w:pPr>
              <w:pStyle w:val="null3"/>
              <w:ind w:right="-315" w:firstLine="480"/>
              <w:jc w:val="both"/>
            </w:pPr>
            <w:r>
              <w:rPr>
                <w:rFonts w:ascii="仿宋_GB2312" w:hAnsi="仿宋_GB2312" w:cs="仿宋_GB2312" w:eastAsia="仿宋_GB2312"/>
              </w:rPr>
              <w:t>服务内容：协助学校管理公寓楼的学生纪律、安全和卫生；保持和维护公寓楼公共区域（楼道、楼梯）卫生。公共卫生间的干净整洁；按时开关宿舍大门，公寓楼防火、防盗、处理安全隐患；值班及来访人员的登记和检查。</w:t>
            </w:r>
          </w:p>
          <w:p>
            <w:pPr>
              <w:pStyle w:val="null3"/>
              <w:ind w:right="-315" w:firstLine="480"/>
              <w:jc w:val="both"/>
            </w:pPr>
            <w:r>
              <w:rPr>
                <w:rFonts w:ascii="仿宋_GB2312" w:hAnsi="仿宋_GB2312" w:cs="仿宋_GB2312" w:eastAsia="仿宋_GB2312"/>
              </w:rPr>
              <w:t>服务标准：树立为学生服务的思想，有高度的责任感和较强的事业心，认真执行学生公寓的各项管理制度，履行岗位职责，尽职、尽责，细心、耐心，协助学校做好学生公寓的纪律、安全、卫生工作，为学生提供一个安全、清洁、舒适的生活环境。</w:t>
            </w:r>
          </w:p>
          <w:p>
            <w:pPr>
              <w:pStyle w:val="null3"/>
              <w:ind w:right="-315" w:firstLine="480"/>
              <w:jc w:val="both"/>
            </w:pPr>
            <w:r>
              <w:rPr>
                <w:rFonts w:ascii="仿宋_GB2312" w:hAnsi="仿宋_GB2312" w:cs="仿宋_GB2312" w:eastAsia="仿宋_GB2312"/>
              </w:rPr>
              <w:t>（二）环境卫生管理</w:t>
            </w:r>
          </w:p>
          <w:p>
            <w:pPr>
              <w:pStyle w:val="null3"/>
              <w:ind w:right="-315" w:firstLine="480"/>
              <w:jc w:val="both"/>
            </w:pPr>
            <w:r>
              <w:rPr>
                <w:rFonts w:ascii="仿宋_GB2312" w:hAnsi="仿宋_GB2312" w:cs="仿宋_GB2312" w:eastAsia="仿宋_GB2312"/>
              </w:rPr>
              <w:t>服务内容：按时清扫校园室内外卫生，并保持和维护卫生整洁；清运学校区域内垃圾；保持和维护公共区域、公共卫生间（除宿舍楼）干净整洁。</w:t>
            </w:r>
          </w:p>
          <w:p>
            <w:pPr>
              <w:pStyle w:val="null3"/>
              <w:ind w:right="-315" w:firstLine="480"/>
              <w:jc w:val="both"/>
            </w:pPr>
            <w:r>
              <w:rPr>
                <w:rFonts w:ascii="仿宋_GB2312" w:hAnsi="仿宋_GB2312" w:cs="仿宋_GB2312" w:eastAsia="仿宋_GB2312"/>
              </w:rPr>
              <w:t>服务标准：认真履行职责，具有较强的责任心和执行力，清洁工作要做到彻底、细致、规范，保证学校内部环境整洁卫生，按时按量完成各项工作任务，保障学生和教职工的健康安全，做好学校内部环境卫生的守护者。</w:t>
            </w:r>
          </w:p>
          <w:p>
            <w:pPr>
              <w:pStyle w:val="null3"/>
              <w:ind w:right="-315" w:firstLine="480"/>
              <w:jc w:val="both"/>
            </w:pPr>
            <w:r>
              <w:rPr>
                <w:rFonts w:ascii="仿宋_GB2312" w:hAnsi="仿宋_GB2312" w:cs="仿宋_GB2312" w:eastAsia="仿宋_GB2312"/>
              </w:rPr>
              <w:t>（三）后勤管理</w:t>
            </w:r>
          </w:p>
          <w:p>
            <w:pPr>
              <w:pStyle w:val="null3"/>
              <w:ind w:right="-315" w:firstLine="480"/>
              <w:jc w:val="both"/>
            </w:pPr>
            <w:r>
              <w:rPr>
                <w:rFonts w:ascii="仿宋_GB2312" w:hAnsi="仿宋_GB2312" w:cs="仿宋_GB2312" w:eastAsia="仿宋_GB2312"/>
              </w:rPr>
              <w:t>（</w:t>
            </w:r>
            <w:r>
              <w:rPr>
                <w:rFonts w:ascii="仿宋_GB2312" w:hAnsi="仿宋_GB2312" w:cs="仿宋_GB2312" w:eastAsia="仿宋_GB2312"/>
              </w:rPr>
              <w:t>1）电工：</w:t>
            </w:r>
          </w:p>
          <w:p>
            <w:pPr>
              <w:pStyle w:val="null3"/>
              <w:ind w:right="-315" w:firstLine="480"/>
              <w:jc w:val="both"/>
            </w:pPr>
            <w:r>
              <w:rPr>
                <w:rFonts w:ascii="仿宋_GB2312" w:hAnsi="仿宋_GB2312" w:cs="仿宋_GB2312" w:eastAsia="仿宋_GB2312"/>
              </w:rPr>
              <w:t>服务内容：每天查看一次配电室及变压器，发现问题及时解决。在总务处领导下负责全校电的安装、保养、维修工作。负责全校电器、照明的安装检查和维修工作，保证各种照明及其他用电设备完好，防止出现因电伤人伤物事故。经常巡视教学区及生活区是否使用大功率电器烧水、做饭和违章投点行为。维修设备的保养工作，常用工具和设备要经常保持完好。校内用电设备一旦发生故障，应随叫随到及时处理，以免造成事故或浪费。每月至少检查一次实验室、教室、办公室、宿舍公共场所的用电设备，发现问题及时检修，确保用电正常安全。</w:t>
            </w:r>
          </w:p>
          <w:p>
            <w:pPr>
              <w:pStyle w:val="null3"/>
              <w:ind w:right="-315" w:firstLine="480"/>
              <w:jc w:val="both"/>
            </w:pPr>
            <w:r>
              <w:rPr>
                <w:rFonts w:ascii="仿宋_GB2312" w:hAnsi="仿宋_GB2312" w:cs="仿宋_GB2312" w:eastAsia="仿宋_GB2312"/>
              </w:rPr>
              <w:t>服务标准：保证教学及生活用电正常，发现问题，及时维修。确保校园用电不浪费，日照良好状态下，实施限电。并正常、安全运行。</w:t>
            </w:r>
          </w:p>
          <w:p>
            <w:pPr>
              <w:pStyle w:val="null3"/>
              <w:ind w:right="-315" w:firstLine="480"/>
              <w:jc w:val="both"/>
            </w:pPr>
            <w:r>
              <w:rPr>
                <w:rFonts w:ascii="仿宋_GB2312" w:hAnsi="仿宋_GB2312" w:cs="仿宋_GB2312" w:eastAsia="仿宋_GB2312"/>
              </w:rPr>
              <w:t>（</w:t>
            </w:r>
            <w:r>
              <w:rPr>
                <w:rFonts w:ascii="仿宋_GB2312" w:hAnsi="仿宋_GB2312" w:cs="仿宋_GB2312" w:eastAsia="仿宋_GB2312"/>
              </w:rPr>
              <w:t>2）补习楼/行政楼：</w:t>
            </w:r>
          </w:p>
          <w:p>
            <w:pPr>
              <w:pStyle w:val="null3"/>
              <w:ind w:right="-315" w:firstLine="480"/>
              <w:jc w:val="both"/>
            </w:pPr>
            <w:r>
              <w:rPr>
                <w:rFonts w:ascii="仿宋_GB2312" w:hAnsi="仿宋_GB2312" w:cs="仿宋_GB2312" w:eastAsia="仿宋_GB2312"/>
              </w:rPr>
              <w:t>服务内容：补习楼</w:t>
            </w:r>
            <w:r>
              <w:rPr>
                <w:rFonts w:ascii="仿宋_GB2312" w:hAnsi="仿宋_GB2312" w:cs="仿宋_GB2312" w:eastAsia="仿宋_GB2312"/>
              </w:rPr>
              <w:t>/行政楼开门、开楼道灯、关楼道灯、关门，补习楼更新报纸墙，行政楼分发报纸，清扫补习楼三楼大会议室，清扫补习楼一楼大厅，清扫行政楼部分办公室。</w:t>
            </w:r>
          </w:p>
          <w:p>
            <w:pPr>
              <w:pStyle w:val="null3"/>
              <w:ind w:right="-315" w:firstLine="480"/>
              <w:jc w:val="both"/>
            </w:pPr>
            <w:r>
              <w:rPr>
                <w:rFonts w:ascii="仿宋_GB2312" w:hAnsi="仿宋_GB2312" w:cs="仿宋_GB2312" w:eastAsia="仿宋_GB2312"/>
              </w:rPr>
              <w:t>服务标准：按时开关补习楼</w:t>
            </w:r>
            <w:r>
              <w:rPr>
                <w:rFonts w:ascii="仿宋_GB2312" w:hAnsi="仿宋_GB2312" w:cs="仿宋_GB2312" w:eastAsia="仿宋_GB2312"/>
              </w:rPr>
              <w:t>/行政楼楼门及楼道灯，及时更新补习楼报纸墙，每天及时分发报纸至各部门，确保责任清洁区域卫生整洁有序，无随意堆放杂物和占用，所有公共区域不见废弃物、污渍。</w:t>
            </w:r>
          </w:p>
          <w:p>
            <w:pPr>
              <w:pStyle w:val="null3"/>
              <w:ind w:right="-315" w:firstLine="480"/>
              <w:jc w:val="both"/>
            </w:pPr>
            <w:r>
              <w:rPr>
                <w:rFonts w:ascii="仿宋_GB2312" w:hAnsi="仿宋_GB2312" w:cs="仿宋_GB2312" w:eastAsia="仿宋_GB2312"/>
              </w:rPr>
              <w:t>（四）人员配置</w:t>
            </w:r>
          </w:p>
          <w:p>
            <w:pPr>
              <w:pStyle w:val="null3"/>
              <w:ind w:right="-315" w:firstLine="480"/>
              <w:jc w:val="both"/>
            </w:pPr>
            <w:r>
              <w:rPr>
                <w:rFonts w:ascii="仿宋_GB2312" w:hAnsi="仿宋_GB2312" w:cs="仿宋_GB2312" w:eastAsia="仿宋_GB2312"/>
              </w:rPr>
              <w:t>总人数不少于</w:t>
            </w:r>
            <w:r>
              <w:rPr>
                <w:rFonts w:ascii="仿宋_GB2312" w:hAnsi="仿宋_GB2312" w:cs="仿宋_GB2312" w:eastAsia="仿宋_GB2312"/>
              </w:rPr>
              <w:t>2</w:t>
            </w:r>
            <w:r>
              <w:rPr>
                <w:rFonts w:ascii="仿宋_GB2312" w:hAnsi="仿宋_GB2312" w:cs="仿宋_GB2312" w:eastAsia="仿宋_GB2312"/>
              </w:rPr>
              <w:t>4</w:t>
            </w:r>
            <w:r>
              <w:rPr>
                <w:rFonts w:ascii="仿宋_GB2312" w:hAnsi="仿宋_GB2312" w:cs="仿宋_GB2312" w:eastAsia="仿宋_GB2312"/>
              </w:rPr>
              <w:t>人，</w:t>
            </w:r>
            <w:r>
              <w:rPr>
                <w:rFonts w:ascii="仿宋_GB2312" w:hAnsi="仿宋_GB2312" w:cs="仿宋_GB2312" w:eastAsia="仿宋_GB2312"/>
              </w:rPr>
              <w:t>年龄</w:t>
            </w:r>
            <w:r>
              <w:rPr>
                <w:rFonts w:ascii="仿宋_GB2312" w:hAnsi="仿宋_GB2312" w:cs="仿宋_GB2312" w:eastAsia="仿宋_GB2312"/>
              </w:rPr>
              <w:t>60周岁以下，</w:t>
            </w:r>
            <w:r>
              <w:rPr>
                <w:rFonts w:ascii="仿宋_GB2312" w:hAnsi="仿宋_GB2312" w:cs="仿宋_GB2312" w:eastAsia="仿宋_GB2312"/>
              </w:rPr>
              <w:t>其中宿舍管理员</w:t>
            </w:r>
            <w:r>
              <w:rPr>
                <w:rFonts w:ascii="仿宋_GB2312" w:hAnsi="仿宋_GB2312" w:cs="仿宋_GB2312" w:eastAsia="仿宋_GB2312"/>
              </w:rPr>
              <w:t>15人，保洁7人，后勤</w:t>
            </w:r>
            <w:r>
              <w:rPr>
                <w:rFonts w:ascii="仿宋_GB2312" w:hAnsi="仿宋_GB2312" w:cs="仿宋_GB2312" w:eastAsia="仿宋_GB2312"/>
              </w:rPr>
              <w:t>2人</w:t>
            </w:r>
            <w:r>
              <w:rPr>
                <w:rFonts w:ascii="仿宋_GB2312" w:hAnsi="仿宋_GB2312" w:cs="仿宋_GB2312" w:eastAsia="仿宋_GB2312"/>
              </w:rPr>
              <w:t>。</w:t>
            </w: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总人数不少于24人，年龄60周岁以下，其中宿舍管理员15人，保洁7人，后勤2人。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富平县迤山中学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甲方按月根据派驻员工的实际考勤情况加固定费用计算支付乙方劳务派遣服务费(注:因甲方经费不到位，需乙方先垫资）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甲方按月根据派驻员工的实际考勤情况加固定费用计算支付乙方劳务派遣服务费(注:因甲方经费不到位，需乙方先垫资）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甲方按月根据派驻员工的实际考勤情况加固定费用计算支付乙方劳务派遣服务费(注:因甲方经费不到位，需乙方先垫资）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甲方按月根据派驻员工的实际考勤情况加固定费用计算支付乙方劳务派遣服务费(注:因甲方经费不到位，需乙方先垫资）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甲方按月根据派驻员工的实际考勤情况加固定费用计算支付乙方劳务派遣服务费(注:因甲方经费不到位，需乙方先垫资）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甲方按月根据派驻员工的实际考勤情况加固定费用计算支付乙方劳务派遣服务费(注:因甲方经费不到位，需乙方先垫资）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甲方按月根据派驻员工的实际考勤情况加固定费用计算支付乙方劳务派遣服务费(注:因甲方经费不到位，需乙方先垫资）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甲方按月根据派驻员工的实际考勤情况加固定费用计算支付乙方劳务派遣服务费(注:因甲方经费不到位，需乙方先垫资）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甲方按月根据派驻员工的实际考勤情况加固定费用计算支付乙方劳务派遣服务费(注:因甲方经费不到位，需乙方先垫资）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甲方按月根据派驻员工的实际考勤情况加固定费用计算支付乙方劳务派遣服务费(注:因甲方经费不到位，需乙方先垫资）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甲方按月根据派驻员工的实际考勤情况加固定费用计算支付乙方劳务派遣服务费(注:因甲方经费不到位，需乙方先垫资）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甲方按月根据派驻员工的实际考勤情况加固定费用计算支付乙方劳务派遣服务费(注:因甲方经费不到位，需乙方先垫资）</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（2）按合同要求提供服务或服务质量不能满足技术要求，采购人有权终止合同，并对中标人违约行为进行追究，同时按《中华人民共和国政府采购法》的有关规定进行处罚。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1、投标时供应商无需提供纸质版响应文件。成交供应商在领取成交通知书前将纸质版响应文件3份、电子版（U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提供2024年度经审计的财务报告或开标前近三个月内基本开户银行开具的资信证明（成立时间至提交磋商响应文件截止时间不足一年的可提供成立后任意时段的财务报表）；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供应商特定资格要求.docx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提供有效的《人力资源服务许可证》或《劳务派遣经营许可证》</w:t>
            </w:r>
          </w:p>
        </w:tc>
        <w:tc>
          <w:tcPr>
            <w:tcW w:type="dxa" w:w="3322"/>
          </w:tcPr>
          <w:p>
            <w:pPr>
              <w:pStyle w:val="null3"/>
            </w:pPr>
            <w:r>
              <w:rPr>
                <w:rFonts w:ascii="仿宋_GB2312" w:hAnsi="仿宋_GB2312" w:cs="仿宋_GB2312" w:eastAsia="仿宋_GB2312"/>
              </w:rPr>
              <w:t>提供有效的《人力资源服务许可证》或《劳务派遣经营许可证》；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提供2024年度经审计的财务报告或开标前近三个月内基本开户银行开具的资信证明（成立时间至提交磋商响应文件截止时间不足一年的可提供成立后任意时段的财务报表）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提供2024年度经审计的财务报告或开标前近三个月内基本开户银行开具的资信证明（成立时间至提交磋商响应文件截止时间不足一年的可提供成立后任意时段的财务报表）；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提供磋商保证金银行转账凭证及基本账户信息复印件或金融机构、担保机构出具的保函复印件，复印件均须加盖公章</w:t>
            </w:r>
          </w:p>
        </w:tc>
        <w:tc>
          <w:tcPr>
            <w:tcW w:type="dxa" w:w="3322"/>
          </w:tcPr>
          <w:p>
            <w:pPr>
              <w:pStyle w:val="null3"/>
            </w:pPr>
            <w:r>
              <w:rPr>
                <w:rFonts w:ascii="仿宋_GB2312" w:hAnsi="仿宋_GB2312" w:cs="仿宋_GB2312" w:eastAsia="仿宋_GB2312"/>
              </w:rPr>
              <w:t>提供磋商保证金银行转账凭证及基本账户信息复印件或金融机构、担保机构出具的保函复印件，复印件均须加盖公章；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本项目专门面向中小企业采购，供应商须提供《中小企业声明函》</w:t>
            </w:r>
          </w:p>
        </w:tc>
        <w:tc>
          <w:tcPr>
            <w:tcW w:type="dxa" w:w="3322"/>
          </w:tcPr>
          <w:p>
            <w:pPr>
              <w:pStyle w:val="null3"/>
            </w:pPr>
            <w:r>
              <w:rPr>
                <w:rFonts w:ascii="仿宋_GB2312" w:hAnsi="仿宋_GB2312" w:cs="仿宋_GB2312" w:eastAsia="仿宋_GB2312"/>
              </w:rPr>
              <w:t xml:space="preserve"> 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供应商特定资格要求.docx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其他相关资料.docx 技术部分.docx 响应文件封面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报价唯一，且不能高于最高限价。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其他相关资料.docx 技术部分.docx 响应文件封面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服务内容及标准</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其他相关资料.docx 技术部分.docx 响应文件封面 残疾人福利性单位声明函 标的清单 供应商特定资格要求.docx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提供针对本项目的总体服务方案，包括但不限于：1.服务目标及本项目重点难点把控；2.服务理念及特色；3.宿舍管理；4.环境卫生管理；5.后勤管理。 二、评审标准 1.完整性：方案必须全面，对评审内容中的各项要求有详细描述； 2.可实施性：切合本项目实际情况，提出步骤清晰、合理的方案； 3.针对性：方案能够紧扣项目实际情况，内容科学合理。 三、赋分标准（满分30分） 1.服务目标及本项目重点难点把控：每完全满足一个评审标准得2分，满分6分； 2.服务理念及特色：每完全满足一个评审标准得2分，满分6分； 3.宿舍管理：每完全满足一个评审标准得2分，满分6分； 4.环境卫生管理：每完全满足一个评审标准得2分，满分6分； 5.后勤管理：每完全满足一个评审标准得2分，满分6分。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提供针对本项目的应急措施，包括但不限于：1.突发紧急事件：重大疾病救治、重大事故的急救、自然灾害、用电、火灾等；2.违法事件：防盗、打架斗殴、寻衅滋事等；3.其他：大型活动、重要接待、各类检查及采购人临时安排的其他事项等。 二、评审标准 1.完整性：方案必须全面，对评审内容中的各项要求有详细描述； 2.可实施性：切合本项目实际情况，提出步骤清晰、合理的方案； 3.针对性：方案能够紧扣项目实际情况，内容科学合理。 三、赋分标准（满分9分） 1.突发紧急事件：每完全满足一项评审标准得1分，满分3分； 2.违法事件：每完全满足一项评审标准得1分，满分3分； 3.其他：每完全满足一项评审标准得1分，满分3分。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一、评审内容 提供针对本项目的内控管理制度，包括但不限于：1.服务质量检查制度；2.设施设备安全使用管理制度；3.人员管理及培训制度；4.具有完善的档案资料管理和移交工作制度；5.岗位职责与考核制度；6.投诉处理及信息反馈制度。 二、评审标准 1.完整性：方案必须全面，对评审内容中的各项要求有详细描述； 2.可实施性：切合本项目实际情况，制度规范、可行性强； 3.针对性：方案能够紧扣项目实际情况，内容科学合理。 三、赋分标准（满分9分） 1.服务质量检查制度：每完全满足一个评审标准得0.5分，满分1.5分； 2.设施设备安全使用管理制度：每完全满足一个评审标准得0.5分，满分1.5分； 3.人员管理及培训制度：每完全满足一个评审标准得0.5分，满分1.5分； 4.具有完善的档案资料管理和移交工作制度：每完全满足一个评审标准得0.5分，满分1.5分； 5.岗位职责与考核制度：每完全满足一个评审标准得0.5分，满分1.5分； 6.投诉处理及信息反馈制度：每完全满足一个评审标准得0.5分，满分1.5分。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针对本项目制定服务质量保证措施，包括但不限于：1.人员专业性的保证措施；2.服务质量保证措施。 二、评审标准 1.完整性：方案必须全面，对评审内容中的各项要求有详细描述； 2.可实施性：切合本项目实际情况，提出步骤清晰、合理的方案； 3.针对性：方案能够紧扣项目实际情况，内容科学合理。 三、赋分标准（满分6分） 1.人员专业性的保证措施：每完全满足一个评审标准得 1 分，满分3分； 2.服务质量保证措施：每完全满足一个评审标准得 1 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业务风控能力</w:t>
            </w:r>
          </w:p>
        </w:tc>
        <w:tc>
          <w:tcPr>
            <w:tcW w:type="dxa" w:w="2492"/>
          </w:tcPr>
          <w:p>
            <w:pPr>
              <w:pStyle w:val="null3"/>
            </w:pPr>
            <w:r>
              <w:rPr>
                <w:rFonts w:ascii="仿宋_GB2312" w:hAnsi="仿宋_GB2312" w:cs="仿宋_GB2312" w:eastAsia="仿宋_GB2312"/>
              </w:rPr>
              <w:t>一、评审内容 提供针对本项目的业务风控能力，包括但不限于： 1.针对用人单位特点，对易发生劳动纠纷的风险，具有处理劳动争议，解决劳务纠纷的能力； 2.针对派遣人员因公患病、工伤或工亡的善后工作的处置措施，有详细的处置措施及处置预案，业务风险管控能力。 二、评审标准 1.完整性：方案必须全面，对评审内容中的各项要求有详细描述； 2.可实施性：切合本项目实际情况，制度规范、可行性强； 3.针对性：方案能够紧扣项目实际情况，内容科学合理。 三、赋分标准（满分12分） 1.针对用人单位特点，对易发生劳动纠纷的风险，具有处理劳动争议，解决劳务纠纷的能力：每完全满足一个评审标准得2分，满分6分； 2.针对派遣人员因公患病、工伤或工亡的善后工作的处置措施，有详细的处置措施及处置预案，业务风险管控能力：每完全满足一个评审标准得2分，满分6分。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一、评审内容 提供针对本项目的服务承诺，包括但不限于：1.承诺所有上岗人员在上岗前经过专业培训；2.承诺若出现服务人员因事、病等不能工作的，及时调整其他服务人员补充。 二、评审标准 1.完整性：方案必须全面，对评审内容中的各项要求有详细描述； 2.可实施性：切合本项目实际情况，提出步骤清晰、合理的方案； 3.针对性：方案能够紧扣项目实际情况，内容科学合理。 三、赋分标准（满分6分） 1.承诺所有上岗人员在上岗前经过专业培训：每完全满足一个评审标准得1分，满分3分； 2.承诺若出现服务人员因事、病等不能工作的，及时调整其他服务人员补充：每完全满足一个评审标准得1分，满分3分。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提供本项目所需要的人员相关证书或资格，且证书在有效期内（共13.5分） ①提供电工作业证书，每提供一个得0.5分，最多得0.5分； ②服务人员提供健康证，每提供一个得0.5分，最多得12分。 ③每提供一名备用服务人员健康证得0.5分，最多得1分。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2022年6月1日至今类似项目的合同或中标(成交)通知书(以所提供资料的落款时间为准)，每提供一份业绩计1.5分，最高4.5分。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1.经资格审查及符合性审查合格的磋商响应文件，其磋商报价有效； 2.满足磋商文件要求且最后提交价格最低的磋商报价为磋商基准价； 3.磋商报价得分=(磋商基准价／最后磋商报价)×10%×100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详见附件：服务内容及商务响应偏离表.docx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