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版本号：HCF2025—CGZB—025—0120260105001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渭南市富平县2025年2万亩高标准农田新建项目(有机肥)(二次)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HCF2025—CGZB—025—01</w:t>
      </w:r>
      <w:r>
        <w:br/>
      </w:r>
      <w:r>
        <w:br/>
      </w:r>
      <w:r>
        <w:br/>
      </w:r>
    </w:p>
    <w:p>
      <w:pPr>
        <w:pStyle w:val="null3"/>
        <w:jc w:val="center"/>
        <w:outlineLvl w:val="2"/>
      </w:pPr>
      <w:r>
        <w:rPr>
          <w:rFonts w:ascii="仿宋_GB2312" w:hAnsi="仿宋_GB2312" w:cs="仿宋_GB2312" w:eastAsia="仿宋_GB2312"/>
          <w:sz w:val="28"/>
          <w:b/>
        </w:rPr>
        <w:t>富平县农业农村局</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富平县农业农村局</w:t>
      </w:r>
      <w:r>
        <w:rPr>
          <w:rFonts w:ascii="仿宋_GB2312" w:hAnsi="仿宋_GB2312" w:cs="仿宋_GB2312" w:eastAsia="仿宋_GB2312"/>
        </w:rPr>
        <w:t>委托，拟对</w:t>
      </w:r>
      <w:r>
        <w:rPr>
          <w:rFonts w:ascii="仿宋_GB2312" w:hAnsi="仿宋_GB2312" w:cs="仿宋_GB2312" w:eastAsia="仿宋_GB2312"/>
        </w:rPr>
        <w:t>渭南市富平县2025年2万亩高标准农田新建项目(有机肥)(二次)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HCF2025—CGZB—025—01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渭南市富平县2025年2万亩高标准农田新建项目(有机肥)(二次)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在齐村镇、庄里镇增施商品有机肥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采购包1（渭南市富平县2025年2万亩高标准农田新建项目（有机肥）（第1包：齐村镇、庄里镇））：属于专门面向中小企业采购。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要求：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授权委托要求：被授权人参加投标只须提供法定代表人授权委托书（附法定代表人、被授权人身份证复印件或扫描件）；法定代表人参加投标只须提供法定代表人身份证明（附法定代表人身份证复印件或扫描件）；</w:t>
      </w:r>
    </w:p>
    <w:p>
      <w:pPr>
        <w:pStyle w:val="null3"/>
      </w:pPr>
      <w:r>
        <w:rPr>
          <w:rFonts w:ascii="仿宋_GB2312" w:hAnsi="仿宋_GB2312" w:cs="仿宋_GB2312" w:eastAsia="仿宋_GB2312"/>
        </w:rPr>
        <w:t>3、资质要求：投标人为生产厂家的提供肥料登记证；投标人为代理商的提供生产厂家肥料登记证。</w:t>
      </w:r>
    </w:p>
    <w:p>
      <w:pPr>
        <w:pStyle w:val="null3"/>
      </w:pPr>
      <w:r>
        <w:rPr>
          <w:rFonts w:ascii="仿宋_GB2312" w:hAnsi="仿宋_GB2312" w:cs="仿宋_GB2312" w:eastAsia="仿宋_GB2312"/>
        </w:rPr>
        <w:t>4、财务状况要求：提供2024年度经审计的财务报告（成立时间至提交投标文件截止时间不足一年的可提供成立后任意时段的财务报表）或开标前近三个月内基本开户银行开具的资信证明；</w:t>
      </w:r>
    </w:p>
    <w:p>
      <w:pPr>
        <w:pStyle w:val="null3"/>
      </w:pPr>
      <w:r>
        <w:rPr>
          <w:rFonts w:ascii="仿宋_GB2312" w:hAnsi="仿宋_GB2312" w:cs="仿宋_GB2312" w:eastAsia="仿宋_GB2312"/>
        </w:rPr>
        <w:t>5、缴纳税收的要求：须提供依法缴纳税收的良好记录（提供投标截止时间前六个月内任意一个月份的缴纳凭据复印件或扫描件并加盖单位公章，依法免税或开标前一年内零申报的投标人应提供相关证明文件）；</w:t>
      </w:r>
    </w:p>
    <w:p>
      <w:pPr>
        <w:pStyle w:val="null3"/>
      </w:pPr>
      <w:r>
        <w:rPr>
          <w:rFonts w:ascii="仿宋_GB2312" w:hAnsi="仿宋_GB2312" w:cs="仿宋_GB2312" w:eastAsia="仿宋_GB2312"/>
        </w:rPr>
        <w:t>6、缴纳社会保障资金的要求：须提供依法缴纳社会保障资金的良好记录（提供投标截止时间前六个月内任意一个月份的缴纳凭据复印件或扫描件并加盖单位公章，依法不需要缴纳社会保障资金的投标人应提供相关证明文件）；</w:t>
      </w:r>
    </w:p>
    <w:p>
      <w:pPr>
        <w:pStyle w:val="null3"/>
      </w:pPr>
      <w:r>
        <w:rPr>
          <w:rFonts w:ascii="仿宋_GB2312" w:hAnsi="仿宋_GB2312" w:cs="仿宋_GB2312" w:eastAsia="仿宋_GB2312"/>
        </w:rPr>
        <w:t>7、信誉要求：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8、无重大违法记录的要求：提供近三年内在经营活动中无重大违法记录的书面声明；</w:t>
      </w:r>
    </w:p>
    <w:p>
      <w:pPr>
        <w:pStyle w:val="null3"/>
      </w:pPr>
      <w:r>
        <w:rPr>
          <w:rFonts w:ascii="仿宋_GB2312" w:hAnsi="仿宋_GB2312" w:cs="仿宋_GB2312" w:eastAsia="仿宋_GB2312"/>
        </w:rPr>
        <w:t>9、投标保证金要求：提供投标保证金银行转账凭证及基本存款账户信息证明资料或金融机构、担保机构出具的保函复印件或扫描件；</w:t>
      </w:r>
    </w:p>
    <w:p>
      <w:pPr>
        <w:pStyle w:val="null3"/>
      </w:pPr>
      <w:r>
        <w:rPr>
          <w:rFonts w:ascii="仿宋_GB2312" w:hAnsi="仿宋_GB2312" w:cs="仿宋_GB2312" w:eastAsia="仿宋_GB2312"/>
        </w:rPr>
        <w:t>10、单位负责人为同一人或者存在直接控股、管理关系的不同投标人，不得参加同一合同项下的政府采购活动的要求：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11、具有履行合同所必需的设备和专业技术能力的要求：提供具有履行本合同所必需的设备和专业技术能力的说明及承诺；</w:t>
      </w:r>
    </w:p>
    <w:p>
      <w:pPr>
        <w:pStyle w:val="null3"/>
      </w:pPr>
      <w:r>
        <w:rPr>
          <w:rFonts w:ascii="仿宋_GB2312" w:hAnsi="仿宋_GB2312" w:cs="仿宋_GB2312" w:eastAsia="仿宋_GB2312"/>
        </w:rPr>
        <w:t>12、面向中小企业采购政策落实情况：本项目专门面向中小企业采购，投标人须提供《中小企业声明函》。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0913-8213273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陕西省西安市碑林区南二环西段21号华融国际商务大厦B-1701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0913-8219328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采购包1：3,708,900.00元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银行账号：30208471002733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按照《国家发展改革委办公厅关于招标代理服务收费有关问题的通知》（发改办价格[2003]857号）规定向中标人收取。若本次招标失败（非代理机构原因），招标代理服务费由采购人支付。具体金额以代理机构开具的税票金额为准，在领取中标（成交）通知书时向采购代理机构一次付清（现金或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富平县农业农村局</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在签订政府采购合同时另行约定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联系电话：0913-8219328</w:t>
      </w:r>
    </w:p>
    <w:p>
      <w:pPr>
        <w:pStyle w:val="null3"/>
      </w:pPr>
      <w:r>
        <w:rPr>
          <w:rFonts w:ascii="仿宋_GB2312" w:hAnsi="仿宋_GB2312" w:cs="仿宋_GB2312" w:eastAsia="仿宋_GB2312"/>
        </w:rPr>
        <w:t>地址：陕西省渭南市富平县紫御台B区商务楼四层</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在齐村镇、庄里镇增施商品有机肥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3,708,900.00</w:t>
      </w:r>
    </w:p>
    <w:p>
      <w:pPr>
        <w:pStyle w:val="null3"/>
      </w:pPr>
      <w:r>
        <w:rPr>
          <w:rFonts w:ascii="仿宋_GB2312" w:hAnsi="仿宋_GB2312" w:cs="仿宋_GB2312" w:eastAsia="仿宋_GB2312"/>
        </w:rPr>
        <w:t>采购包最高限价（元）: 3,708,900.00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有机肥（第1包:齐村镇、庄里镇）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3,708,900.00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标的名称：有机肥（第1包:齐村镇、庄里镇）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95"/>
              <w:ind w:left="30" w:right="30" w:firstLine="561"/>
              <w:jc w:val="both"/>
            </w:pPr>
            <w:r>
              <w:rPr>
                <w:rFonts w:ascii="仿宋_GB2312" w:hAnsi="仿宋_GB2312" w:cs="仿宋_GB2312" w:eastAsia="仿宋_GB2312"/>
                <w:sz w:val="24"/>
                <w:color w:val="000000"/>
              </w:rPr>
              <w:t>本项目有机肥作基肥施用。</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将有机肥按照设计面积发放给群众，施用时间在上茬作物收获后、下茬作物播种前，指</w:t>
            </w:r>
            <w:r>
              <w:rPr>
                <w:rFonts w:ascii="仿宋_GB2312" w:hAnsi="仿宋_GB2312" w:cs="仿宋_GB2312" w:eastAsia="仿宋_GB2312"/>
                <w:sz w:val="24"/>
                <w:color w:val="000000"/>
              </w:rPr>
              <w:t>导督</w:t>
            </w:r>
            <w:r>
              <w:rPr>
                <w:rFonts w:ascii="仿宋_GB2312" w:hAnsi="仿宋_GB2312" w:cs="仿宋_GB2312" w:eastAsia="仿宋_GB2312"/>
                <w:sz w:val="24"/>
                <w:color w:val="000000"/>
              </w:rPr>
              <w:t>促群众将有机肥均匀抛撒到农田，随着翻地将肥料全面施</w:t>
            </w:r>
            <w:r>
              <w:rPr>
                <w:rFonts w:ascii="仿宋_GB2312" w:hAnsi="仿宋_GB2312" w:cs="仿宋_GB2312" w:eastAsia="仿宋_GB2312"/>
                <w:sz w:val="24"/>
                <w:color w:val="000000"/>
              </w:rPr>
              <w:t>入土壤表</w:t>
            </w:r>
            <w:r>
              <w:rPr>
                <w:rFonts w:ascii="仿宋_GB2312" w:hAnsi="仿宋_GB2312" w:cs="仿宋_GB2312" w:eastAsia="仿宋_GB2312"/>
                <w:sz w:val="24"/>
                <w:color w:val="000000"/>
              </w:rPr>
              <w:t>层，然后耕入土中。</w:t>
            </w:r>
          </w:p>
          <w:p>
            <w:pPr>
              <w:pStyle w:val="null3"/>
              <w:ind w:left="135" w:right="120" w:firstLine="547"/>
              <w:jc w:val="left"/>
            </w:pPr>
            <w:r>
              <w:rPr>
                <w:rFonts w:ascii="仿宋_GB2312" w:hAnsi="仿宋_GB2312" w:cs="仿宋_GB2312" w:eastAsia="仿宋_GB2312"/>
                <w:sz w:val="24"/>
                <w:color w:val="000000"/>
              </w:rPr>
              <w:t>本采购包</w:t>
            </w:r>
            <w:r>
              <w:rPr>
                <w:rFonts w:ascii="仿宋_GB2312" w:hAnsi="仿宋_GB2312" w:cs="仿宋_GB2312" w:eastAsia="仿宋_GB2312"/>
                <w:sz w:val="24"/>
                <w:color w:val="000000"/>
              </w:rPr>
              <w:t>14265亩全部土壤培肥，为颗粒状，平均每亩</w:t>
            </w:r>
            <w:r>
              <w:rPr>
                <w:rFonts w:ascii="仿宋_GB2312" w:hAnsi="仿宋_GB2312" w:cs="仿宋_GB2312" w:eastAsia="仿宋_GB2312"/>
                <w:sz w:val="24"/>
                <w:color w:val="000000"/>
              </w:rPr>
              <w:t>5</w:t>
            </w:r>
            <w:r>
              <w:rPr>
                <w:rFonts w:ascii="仿宋_GB2312" w:hAnsi="仿宋_GB2312" w:cs="仿宋_GB2312" w:eastAsia="仿宋_GB2312"/>
                <w:sz w:val="24"/>
                <w:color w:val="000000"/>
              </w:rPr>
              <w:t>袋</w:t>
            </w:r>
            <w:r>
              <w:rPr>
                <w:rFonts w:ascii="仿宋_GB2312" w:hAnsi="仿宋_GB2312" w:cs="仿宋_GB2312" w:eastAsia="仿宋_GB2312"/>
                <w:sz w:val="24"/>
                <w:color w:val="000000"/>
              </w:rPr>
              <w:t>(</w:t>
            </w:r>
            <w:r>
              <w:rPr>
                <w:rFonts w:ascii="仿宋_GB2312" w:hAnsi="仿宋_GB2312" w:cs="仿宋_GB2312" w:eastAsia="仿宋_GB2312"/>
                <w:sz w:val="24"/>
                <w:color w:val="000000"/>
              </w:rPr>
              <w:t>每袋</w:t>
            </w:r>
            <w:r>
              <w:rPr>
                <w:rFonts w:ascii="仿宋_GB2312" w:hAnsi="仿宋_GB2312" w:cs="仿宋_GB2312" w:eastAsia="仿宋_GB2312"/>
                <w:sz w:val="24"/>
                <w:color w:val="000000"/>
              </w:rPr>
              <w:t>40kg)</w:t>
            </w:r>
            <w:r>
              <w:rPr>
                <w:rFonts w:ascii="仿宋_GB2312" w:hAnsi="仿宋_GB2312" w:cs="仿宋_GB2312" w:eastAsia="仿宋_GB2312"/>
                <w:sz w:val="24"/>
                <w:color w:val="000000"/>
              </w:rPr>
              <w:t>，</w:t>
            </w:r>
            <w:r>
              <w:rPr>
                <w:rFonts w:ascii="仿宋_GB2312" w:hAnsi="仿宋_GB2312" w:cs="仿宋_GB2312" w:eastAsia="仿宋_GB2312"/>
                <w:sz w:val="24"/>
                <w:color w:val="000000"/>
              </w:rPr>
              <w:t>各行政村土壤培肥措施详见下表。</w:t>
            </w:r>
          </w:p>
          <w:p>
            <w:pPr>
              <w:pStyle w:val="null3"/>
              <w:spacing w:before="15"/>
              <w:ind w:left="1875" w:firstLine="708"/>
              <w:jc w:val="left"/>
            </w:pPr>
            <w:r>
              <w:rPr>
                <w:rFonts w:ascii="仿宋_GB2312" w:hAnsi="仿宋_GB2312" w:cs="仿宋_GB2312" w:eastAsia="仿宋_GB2312"/>
                <w:sz w:val="24"/>
                <w:color w:val="000000"/>
              </w:rPr>
              <w:t xml:space="preserve">   各行政村土壤培肥施肥量汇总表</w:t>
            </w:r>
          </w:p>
          <w:tbl>
            <w:tblPr>
              <w:tblInd w:type="dxa" w:w="120"/>
              <w:tblBorders>
                <w:top w:val="none" w:color="000000" w:sz="4"/>
                <w:left w:val="none" w:color="000000" w:sz="4"/>
                <w:bottom w:val="none" w:color="000000" w:sz="4"/>
                <w:right w:val="none" w:color="000000" w:sz="4"/>
                <w:insideH w:val="none"/>
                <w:insideV w:val="none"/>
              </w:tblBorders>
            </w:tblPr>
            <w:tblGrid>
              <w:gridCol w:w="453"/>
              <w:gridCol w:w="449"/>
              <w:gridCol w:w="545"/>
              <w:gridCol w:w="523"/>
              <w:gridCol w:w="571"/>
            </w:tblGrid>
            <w:tr>
              <w:tc>
                <w:tcPr>
                  <w:tcW w:type="dxa" w:w="4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24"/>
                      <w:b/>
                      <w:color w:val="000000"/>
                    </w:rPr>
                    <w:t>镇</w:t>
                  </w:r>
                </w:p>
              </w:tc>
              <w:tc>
                <w:tcPr>
                  <w:tcW w:type="dxa" w:w="4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660"/>
                    <w:jc w:val="left"/>
                  </w:pPr>
                  <w:r>
                    <w:rPr>
                      <w:rFonts w:ascii="仿宋_GB2312" w:hAnsi="仿宋_GB2312" w:cs="仿宋_GB2312" w:eastAsia="仿宋_GB2312"/>
                      <w:sz w:val="24"/>
                      <w:b/>
                      <w:color w:val="000000"/>
                    </w:rPr>
                    <w:t>村</w:t>
                  </w:r>
                </w:p>
              </w:tc>
              <w:tc>
                <w:tcPr>
                  <w:tcW w:type="dxa" w:w="54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土壤培肥</w:t>
                  </w:r>
                  <w:r>
                    <w:rPr>
                      <w:rFonts w:ascii="仿宋_GB2312" w:hAnsi="仿宋_GB2312" w:cs="仿宋_GB2312" w:eastAsia="仿宋_GB2312"/>
                      <w:sz w:val="24"/>
                      <w:b/>
                      <w:color w:val="000000"/>
                    </w:rPr>
                    <w:t>(亩)</w:t>
                  </w:r>
                </w:p>
              </w:tc>
              <w:tc>
                <w:tcPr>
                  <w:tcW w:type="dxa" w:w="52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商品有机肥</w:t>
                  </w:r>
                  <w:r>
                    <w:rPr>
                      <w:rFonts w:ascii="仿宋_GB2312" w:hAnsi="仿宋_GB2312" w:cs="仿宋_GB2312" w:eastAsia="仿宋_GB2312"/>
                      <w:sz w:val="24"/>
                      <w:b/>
                      <w:color w:val="000000"/>
                    </w:rPr>
                    <w:t>(t)</w:t>
                  </w:r>
                </w:p>
              </w:tc>
              <w:tc>
                <w:tcPr>
                  <w:tcW w:type="dxa" w:w="5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商品有机肥</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袋</w:t>
                  </w:r>
                  <w:r>
                    <w:rPr>
                      <w:rFonts w:ascii="仿宋_GB2312" w:hAnsi="仿宋_GB2312" w:cs="仿宋_GB2312" w:eastAsia="仿宋_GB2312"/>
                      <w:sz w:val="24"/>
                      <w:b/>
                      <w:color w:val="000000"/>
                    </w:rPr>
                    <w:t>)</w:t>
                  </w:r>
                </w:p>
              </w:tc>
            </w:tr>
            <w:tr>
              <w:tc>
                <w:tcPr>
                  <w:tcW w:type="dxa" w:w="45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庄里镇</w:t>
                  </w: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50"/>
                    <w:jc w:val="left"/>
                  </w:pPr>
                  <w:r>
                    <w:rPr>
                      <w:rFonts w:ascii="仿宋_GB2312" w:hAnsi="仿宋_GB2312" w:cs="仿宋_GB2312" w:eastAsia="仿宋_GB2312"/>
                      <w:sz w:val="24"/>
                      <w:color w:val="000000"/>
                    </w:rPr>
                    <w:t>园林村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2073</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414.6</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10365</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20"/>
                    <w:jc w:val="left"/>
                  </w:pPr>
                  <w:r>
                    <w:rPr>
                      <w:rFonts w:ascii="仿宋_GB2312" w:hAnsi="仿宋_GB2312" w:cs="仿宋_GB2312" w:eastAsia="仿宋_GB2312"/>
                      <w:sz w:val="24"/>
                      <w:color w:val="000000"/>
                    </w:rPr>
                    <w:t>六联村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1329</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265.8</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6645</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20"/>
                    <w:jc w:val="left"/>
                  </w:pPr>
                  <w:r>
                    <w:rPr>
                      <w:rFonts w:ascii="仿宋_GB2312" w:hAnsi="仿宋_GB2312" w:cs="仿宋_GB2312" w:eastAsia="仿宋_GB2312"/>
                      <w:sz w:val="24"/>
                      <w:color w:val="000000"/>
                    </w:rPr>
                    <w:t>神芝村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400</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80</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2000</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540"/>
                    <w:jc w:val="left"/>
                  </w:pPr>
                  <w:r>
                    <w:rPr>
                      <w:rFonts w:ascii="仿宋_GB2312" w:hAnsi="仿宋_GB2312" w:cs="仿宋_GB2312" w:eastAsia="仿宋_GB2312"/>
                      <w:sz w:val="24"/>
                      <w:color w:val="000000"/>
                    </w:rPr>
                    <w:t>小计</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3802</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760.4</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19010</w:t>
                  </w:r>
                </w:p>
              </w:tc>
            </w:tr>
            <w:tr>
              <w:tc>
                <w:tcPr>
                  <w:tcW w:type="dxa" w:w="45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齐村镇</w:t>
                  </w: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35"/>
                    <w:jc w:val="left"/>
                  </w:pPr>
                  <w:r>
                    <w:rPr>
                      <w:rFonts w:ascii="仿宋_GB2312" w:hAnsi="仿宋_GB2312" w:cs="仿宋_GB2312" w:eastAsia="仿宋_GB2312"/>
                      <w:sz w:val="24"/>
                      <w:color w:val="000000"/>
                    </w:rPr>
                    <w:t>董南村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3261</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652.2</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16305</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35"/>
                    <w:jc w:val="left"/>
                  </w:pPr>
                  <w:r>
                    <w:rPr>
                      <w:rFonts w:ascii="仿宋_GB2312" w:hAnsi="仿宋_GB2312" w:cs="仿宋_GB2312" w:eastAsia="仿宋_GB2312"/>
                      <w:sz w:val="24"/>
                      <w:color w:val="000000"/>
                    </w:rPr>
                    <w:t>三合村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2876</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575.2</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14380</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20"/>
                    <w:jc w:val="left"/>
                  </w:pPr>
                  <w:r>
                    <w:rPr>
                      <w:rFonts w:ascii="仿宋_GB2312" w:hAnsi="仿宋_GB2312" w:cs="仿宋_GB2312" w:eastAsia="仿宋_GB2312"/>
                      <w:sz w:val="24"/>
                      <w:color w:val="000000"/>
                    </w:rPr>
                    <w:t>和平村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1602</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320.4</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8010</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35"/>
                    <w:jc w:val="left"/>
                  </w:pPr>
                  <w:r>
                    <w:rPr>
                      <w:rFonts w:ascii="仿宋_GB2312" w:hAnsi="仿宋_GB2312" w:cs="仿宋_GB2312" w:eastAsia="仿宋_GB2312"/>
                      <w:sz w:val="24"/>
                      <w:color w:val="000000"/>
                    </w:rPr>
                    <w:t>方井村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1254</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250.8</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6270</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420"/>
                    <w:jc w:val="left"/>
                  </w:pPr>
                  <w:r>
                    <w:rPr>
                      <w:rFonts w:ascii="仿宋_GB2312" w:hAnsi="仿宋_GB2312" w:cs="仿宋_GB2312" w:eastAsia="仿宋_GB2312"/>
                      <w:sz w:val="24"/>
                      <w:color w:val="000000"/>
                    </w:rPr>
                    <w:t>文宗村</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1470</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294</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7350</w:t>
                  </w:r>
                </w:p>
              </w:tc>
            </w:tr>
            <w:tr>
              <w:tc>
                <w:tcPr>
                  <w:tcW w:type="dxa" w:w="453"/>
                  <w:vMerge/>
                  <w:tcBorders>
                    <w:top w:val="none" w:color="000000" w:sz="4"/>
                    <w:left w:val="single" w:color="000000" w:sz="4"/>
                    <w:bottom w:val="single" w:color="000000" w:sz="4"/>
                    <w:right w:val="single" w:color="000000" w:sz="4"/>
                  </w:tcBorders>
                </w:tcPr>
                <w:p/>
              </w:tc>
              <w:tc>
                <w:tcPr>
                  <w:tcW w:type="dxa" w:w="4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540"/>
                    <w:jc w:val="left"/>
                  </w:pPr>
                  <w:r>
                    <w:rPr>
                      <w:rFonts w:ascii="仿宋_GB2312" w:hAnsi="仿宋_GB2312" w:cs="仿宋_GB2312" w:eastAsia="仿宋_GB2312"/>
                      <w:sz w:val="24"/>
                      <w:color w:val="000000"/>
                    </w:rPr>
                    <w:t>小计</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10463</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2092.6</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color w:val="000000"/>
                    </w:rPr>
                    <w:t>52315</w:t>
                  </w:r>
                </w:p>
              </w:tc>
            </w:tr>
            <w:tr>
              <w:tc>
                <w:tcPr>
                  <w:tcW w:type="dxa" w:w="90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35"/>
                    <w:jc w:val="left"/>
                  </w:pPr>
                  <w:r>
                    <w:rPr>
                      <w:rFonts w:ascii="仿宋_GB2312" w:hAnsi="仿宋_GB2312" w:cs="仿宋_GB2312" w:eastAsia="仿宋_GB2312"/>
                      <w:sz w:val="24"/>
                      <w:b/>
                      <w:color w:val="000000"/>
                    </w:rPr>
                    <w:t>合计</w:t>
                  </w:r>
                </w:p>
              </w:tc>
              <w:tc>
                <w:tcPr>
                  <w:tcW w:type="dxa" w:w="5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b/>
                      <w:color w:val="000000"/>
                    </w:rPr>
                    <w:t>14265</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b/>
                      <w:color w:val="000000"/>
                    </w:rPr>
                    <w:t>2853</w:t>
                  </w:r>
                </w:p>
              </w:tc>
              <w:tc>
                <w:tcPr>
                  <w:tcW w:type="dxa" w:w="5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b/>
                      <w:color w:val="000000"/>
                    </w:rPr>
                    <w:t>71325</w:t>
                  </w:r>
                </w:p>
              </w:tc>
            </w:tr>
          </w:tbl>
          <w:p>
            <w:pPr>
              <w:pStyle w:val="null3"/>
              <w:spacing w:before="90"/>
              <w:ind w:left="1590"/>
              <w:jc w:val="left"/>
            </w:pPr>
            <w:r>
              <w:rPr>
                <w:rFonts w:ascii="仿宋_GB2312" w:hAnsi="仿宋_GB2312" w:cs="仿宋_GB2312" w:eastAsia="仿宋_GB2312"/>
                <w:sz w:val="24"/>
                <w:color w:val="000000"/>
              </w:rPr>
              <w:t>根据《有机肥料》</w:t>
            </w:r>
            <w:r>
              <w:rPr>
                <w:rFonts w:ascii="仿宋_GB2312" w:hAnsi="仿宋_GB2312" w:cs="仿宋_GB2312" w:eastAsia="仿宋_GB2312"/>
                <w:sz w:val="24"/>
                <w:color w:val="000000"/>
              </w:rPr>
              <w:t>(NY525-2021)技术规范，肥料各项技术指标应符合下表要求。</w:t>
            </w:r>
          </w:p>
          <w:p>
            <w:pPr>
              <w:pStyle w:val="null3"/>
              <w:spacing w:before="90"/>
              <w:ind w:firstLine="504"/>
              <w:jc w:val="left"/>
            </w:pPr>
            <w:r>
              <w:rPr>
                <w:rFonts w:ascii="仿宋_GB2312" w:hAnsi="仿宋_GB2312" w:cs="仿宋_GB2312" w:eastAsia="仿宋_GB2312"/>
              </w:rPr>
              <w:t xml:space="preserve">                                 </w:t>
            </w:r>
            <w:r>
              <w:rPr>
                <w:rFonts w:ascii="仿宋_GB2312" w:hAnsi="仿宋_GB2312" w:cs="仿宋_GB2312" w:eastAsia="仿宋_GB2312"/>
                <w:sz w:val="24"/>
                <w:color w:val="000000"/>
              </w:rPr>
              <w:t>有机肥</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核心产品</w:t>
            </w:r>
            <w:r>
              <w:rPr>
                <w:rFonts w:ascii="仿宋_GB2312" w:hAnsi="仿宋_GB2312" w:cs="仿宋_GB2312" w:eastAsia="仿宋_GB2312"/>
                <w:sz w:val="24"/>
                <w:color w:val="000000"/>
              </w:rPr>
              <w:t>）</w:t>
            </w:r>
            <w:r>
              <w:rPr>
                <w:rFonts w:ascii="仿宋_GB2312" w:hAnsi="仿宋_GB2312" w:cs="仿宋_GB2312" w:eastAsia="仿宋_GB2312"/>
                <w:sz w:val="24"/>
                <w:color w:val="000000"/>
              </w:rPr>
              <w:t>各项技术指标</w:t>
            </w:r>
          </w:p>
          <w:tbl>
            <w:tblPr>
              <w:tblInd w:type="dxa" w:w="120"/>
              <w:tblBorders>
                <w:top w:val="none" w:color="000000" w:sz="4"/>
                <w:left w:val="none" w:color="000000" w:sz="4"/>
                <w:bottom w:val="none" w:color="000000" w:sz="4"/>
                <w:right w:val="none" w:color="000000" w:sz="4"/>
                <w:insideH w:val="none"/>
                <w:insideV w:val="none"/>
              </w:tblBorders>
            </w:tblPr>
            <w:tblGrid>
              <w:gridCol w:w="1587"/>
              <w:gridCol w:w="961"/>
            </w:tblGrid>
            <w:tr>
              <w:tc>
                <w:tcPr>
                  <w:tcW w:type="dxa" w:w="158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项目</w:t>
                  </w:r>
                </w:p>
              </w:tc>
              <w:tc>
                <w:tcPr>
                  <w:tcW w:type="dxa" w:w="961"/>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b/>
                      <w:color w:val="000000"/>
                    </w:rPr>
                    <w:t>指标</w:t>
                  </w:r>
                </w:p>
              </w:tc>
            </w:tr>
            <w:tr>
              <w:tc>
                <w:tcPr>
                  <w:tcW w:type="dxa" w:w="15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有机质的质量分数</w:t>
                  </w:r>
                  <w:r>
                    <w:rPr>
                      <w:rFonts w:ascii="仿宋_GB2312" w:hAnsi="仿宋_GB2312" w:cs="仿宋_GB2312" w:eastAsia="仿宋_GB2312"/>
                      <w:sz w:val="24"/>
                      <w:color w:val="000000"/>
                    </w:rPr>
                    <w:t>(以烘干基</w:t>
                  </w:r>
                  <w:r>
                    <w:rPr>
                      <w:rFonts w:ascii="仿宋_GB2312" w:hAnsi="仿宋_GB2312" w:cs="仿宋_GB2312" w:eastAsia="仿宋_GB2312"/>
                      <w:sz w:val="24"/>
                      <w:color w:val="000000"/>
                    </w:rPr>
                    <w:t>计</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≥30</w:t>
                  </w:r>
                </w:p>
              </w:tc>
            </w:tr>
            <w:tr>
              <w:tc>
                <w:tcPr>
                  <w:tcW w:type="dxa" w:w="15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right="120"/>
                    <w:jc w:val="center"/>
                  </w:pPr>
                  <w:r>
                    <w:rPr>
                      <w:rFonts w:ascii="仿宋_GB2312" w:hAnsi="仿宋_GB2312" w:cs="仿宋_GB2312" w:eastAsia="仿宋_GB2312"/>
                      <w:sz w:val="24"/>
                      <w:color w:val="000000"/>
                    </w:rPr>
                    <w:t>总养分</w:t>
                  </w:r>
                  <w:r>
                    <w:rPr>
                      <w:rFonts w:ascii="仿宋_GB2312" w:hAnsi="仿宋_GB2312" w:cs="仿宋_GB2312" w:eastAsia="仿宋_GB2312"/>
                      <w:sz w:val="24"/>
                      <w:color w:val="000000"/>
                    </w:rPr>
                    <w:t>(氮+五氧化二磷+氧化钾)</w:t>
                  </w:r>
                  <w:r>
                    <w:rPr>
                      <w:rFonts w:ascii="仿宋_GB2312" w:hAnsi="仿宋_GB2312" w:cs="仿宋_GB2312" w:eastAsia="仿宋_GB2312"/>
                      <w:sz w:val="24"/>
                      <w:color w:val="000000"/>
                    </w:rPr>
                    <w:t>的质量分数</w:t>
                  </w:r>
                  <w:r>
                    <w:rPr>
                      <w:rFonts w:ascii="仿宋_GB2312" w:hAnsi="仿宋_GB2312" w:cs="仿宋_GB2312" w:eastAsia="仿宋_GB2312"/>
                      <w:sz w:val="24"/>
                      <w:color w:val="000000"/>
                    </w:rPr>
                    <w:t>(以烘干基计)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≥4.0</w:t>
                  </w:r>
                </w:p>
              </w:tc>
            </w:tr>
            <w:tr>
              <w:tc>
                <w:tcPr>
                  <w:tcW w:type="dxa" w:w="15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水分</w:t>
                  </w:r>
                  <w:r>
                    <w:rPr>
                      <w:rFonts w:ascii="仿宋_GB2312" w:hAnsi="仿宋_GB2312" w:cs="仿宋_GB2312" w:eastAsia="仿宋_GB2312"/>
                      <w:sz w:val="24"/>
                      <w:color w:val="000000"/>
                    </w:rPr>
                    <w:t>(鲜样)的质量分数，%</w:t>
                  </w:r>
                </w:p>
              </w:tc>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≤30.0</w:t>
                  </w:r>
                </w:p>
              </w:tc>
            </w:tr>
            <w:tr>
              <w:tc>
                <w:tcPr>
                  <w:tcW w:type="dxa" w:w="15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酸碱度</w:t>
                  </w:r>
                  <w:r>
                    <w:rPr>
                      <w:rFonts w:ascii="仿宋_GB2312" w:hAnsi="仿宋_GB2312" w:cs="仿宋_GB2312" w:eastAsia="仿宋_GB2312"/>
                      <w:sz w:val="24"/>
                      <w:color w:val="000000"/>
                    </w:rPr>
                    <w:t>pH</w:t>
                  </w:r>
                </w:p>
              </w:tc>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5.5～8.5</w:t>
                  </w:r>
                </w:p>
              </w:tc>
            </w:tr>
            <w:tr>
              <w:tc>
                <w:tcPr>
                  <w:tcW w:type="dxa" w:w="158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种子发芽指数</w:t>
                  </w:r>
                  <w:r>
                    <w:rPr>
                      <w:rFonts w:ascii="仿宋_GB2312" w:hAnsi="仿宋_GB2312" w:cs="仿宋_GB2312" w:eastAsia="仿宋_GB2312"/>
                      <w:sz w:val="24"/>
                      <w:color w:val="000000"/>
                    </w:rPr>
                    <w:t>(GI)</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9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≥70</w:t>
                  </w:r>
                </w:p>
              </w:tc>
            </w:tr>
            <w:tr>
              <w:tc>
                <w:tcPr>
                  <w:tcW w:type="dxa" w:w="158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color w:val="000000"/>
                    </w:rPr>
                    <w:t>机械杂质的质量分数，</w:t>
                  </w:r>
                  <w:r>
                    <w:rPr>
                      <w:rFonts w:ascii="仿宋_GB2312" w:hAnsi="仿宋_GB2312" w:cs="仿宋_GB2312" w:eastAsia="仿宋_GB2312"/>
                      <w:sz w:val="24"/>
                      <w:color w:val="000000"/>
                    </w:rPr>
                    <w:t>%</w:t>
                  </w:r>
                </w:p>
              </w:tc>
              <w:tc>
                <w:tcPr>
                  <w:tcW w:type="dxa" w:w="961"/>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4"/>
                      <w:color w:val="000000"/>
                    </w:rPr>
                    <w:t>≤0.5</w:t>
                  </w:r>
                </w:p>
              </w:tc>
            </w:tr>
          </w:tbl>
          <w:p>
            <w:pPr>
              <w:pStyle w:val="null3"/>
              <w:spacing w:before="195"/>
              <w:ind w:left="30" w:right="30" w:firstLine="561"/>
              <w:jc w:val="both"/>
            </w:pPr>
            <w:r>
              <w:rPr>
                <w:rFonts w:ascii="仿宋_GB2312" w:hAnsi="仿宋_GB2312" w:cs="仿宋_GB2312" w:eastAsia="仿宋_GB2312"/>
                <w:sz w:val="24"/>
                <w:color w:val="000000"/>
              </w:rPr>
              <w:t>施肥作业方式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做基肥施用，有机肥效长，养分释放平稳，非常适合作为基肥，为作物</w:t>
            </w:r>
            <w:r>
              <w:rPr>
                <w:rFonts w:ascii="仿宋_GB2312" w:hAnsi="仿宋_GB2312" w:cs="仿宋_GB2312" w:eastAsia="仿宋_GB2312"/>
                <w:sz w:val="24"/>
                <w:color w:val="000000"/>
              </w:rPr>
              <w:t>整</w:t>
            </w:r>
            <w:r>
              <w:rPr>
                <w:rFonts w:ascii="仿宋_GB2312" w:hAnsi="仿宋_GB2312" w:cs="仿宋_GB2312" w:eastAsia="仿宋_GB2312"/>
                <w:sz w:val="24"/>
                <w:color w:val="000000"/>
              </w:rPr>
              <w:t>个生长期打下基础。采用撒施，最好在播种或定植前</w:t>
            </w:r>
            <w:r>
              <w:rPr>
                <w:rFonts w:ascii="仿宋_GB2312" w:hAnsi="仿宋_GB2312" w:cs="仿宋_GB2312" w:eastAsia="仿宋_GB2312"/>
                <w:sz w:val="24"/>
                <w:color w:val="000000"/>
              </w:rPr>
              <w:t>7-15天施入，让肥料在土壤中有一个进一步融合和稳定的过程。在土壤耕翻前,将有机肥均匀地撒布于地表。</w:t>
            </w:r>
          </w:p>
          <w:p>
            <w:pPr>
              <w:pStyle w:val="null3"/>
              <w:spacing w:before="195"/>
              <w:ind w:left="30" w:right="30" w:firstLine="561"/>
              <w:jc w:val="both"/>
            </w:pPr>
            <w:r>
              <w:rPr>
                <w:rFonts w:ascii="仿宋_GB2312" w:hAnsi="仿宋_GB2312" w:cs="仿宋_GB2312" w:eastAsia="仿宋_GB2312"/>
                <w:sz w:val="24"/>
                <w:color w:val="000000"/>
              </w:rPr>
              <w:t>技术要求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需符合《有机肥料》</w:t>
            </w:r>
            <w:r>
              <w:rPr>
                <w:rFonts w:ascii="仿宋_GB2312" w:hAnsi="仿宋_GB2312" w:cs="仿宋_GB2312" w:eastAsia="仿宋_GB2312"/>
                <w:sz w:val="24"/>
                <w:color w:val="000000"/>
              </w:rPr>
              <w:t>(NY525-2021)技术规范，必须使用完全腐熟的有机肥。未腐熟的有机肥在土壤中会继续发酵，产生高温和有害物质(如氨、有机酸)导致“烧根”和病虫害传播。撒施后必须配合翻耕，使肥料入土。有机肥与化肥配合施用，可以优势互补，实现“速效与长效结合、用地与养地结合”。这是目前最高效、最科学的施肥策略。避免在雨季或大雨前施肥，防止径流污染水源。</w:t>
            </w:r>
          </w:p>
          <w:p>
            <w:pPr>
              <w:pStyle w:val="null3"/>
              <w:spacing w:before="195"/>
              <w:ind w:left="30" w:right="30" w:firstLine="561"/>
              <w:jc w:val="both"/>
            </w:pPr>
            <w:r>
              <w:rPr>
                <w:rFonts w:ascii="仿宋_GB2312" w:hAnsi="仿宋_GB2312" w:cs="仿宋_GB2312" w:eastAsia="仿宋_GB2312"/>
                <w:sz w:val="24"/>
                <w:color w:val="000000"/>
              </w:rPr>
              <w:t>施肥后的耕作方式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施肥后的耕作管理至关重要，它决定了肥料是否能被正确安置在土壤中。对于撒施的有机肥，必须在撒施后立即进行翻耕，将肥料翻入土壤耕作层。目的为减少养分损失，防止氨素以氨气形式挥发，防止磷钾被地表径流冲走</w:t>
            </w:r>
            <w:r>
              <w:rPr>
                <w:rFonts w:ascii="仿宋_GB2312" w:hAnsi="仿宋_GB2312" w:cs="仿宋_GB2312" w:eastAsia="仿宋_GB2312"/>
                <w:sz w:val="24"/>
                <w:color w:val="000000"/>
              </w:rPr>
              <w:t>；</w:t>
            </w:r>
            <w:r>
              <w:rPr>
                <w:rFonts w:ascii="仿宋_GB2312" w:hAnsi="仿宋_GB2312" w:cs="仿宋_GB2312" w:eastAsia="仿宋_GB2312"/>
                <w:sz w:val="24"/>
                <w:color w:val="000000"/>
              </w:rPr>
              <w:t>促进融合，使肥料与土壤充分混合，创造均匀的根际微环境</w:t>
            </w:r>
            <w:r>
              <w:rPr>
                <w:rFonts w:ascii="仿宋_GB2312" w:hAnsi="仿宋_GB2312" w:cs="仿宋_GB2312" w:eastAsia="仿宋_GB2312"/>
                <w:sz w:val="24"/>
                <w:color w:val="000000"/>
              </w:rPr>
              <w:t>；</w:t>
            </w:r>
            <w:r>
              <w:rPr>
                <w:rFonts w:ascii="仿宋_GB2312" w:hAnsi="仿宋_GB2312" w:cs="仿宋_GB2312" w:eastAsia="仿宋_GB2312"/>
                <w:sz w:val="24"/>
                <w:color w:val="000000"/>
              </w:rPr>
              <w:t>避免问题，防止肥料留在地表吸引害虫和杂草。</w:t>
            </w:r>
          </w:p>
          <w:p>
            <w:pPr>
              <w:pStyle w:val="null3"/>
              <w:ind w:left="30" w:right="30" w:firstLine="561"/>
              <w:jc w:val="both"/>
            </w:pPr>
            <w:r>
              <w:rPr>
                <w:rFonts w:ascii="仿宋_GB2312" w:hAnsi="仿宋_GB2312" w:cs="仿宋_GB2312" w:eastAsia="仿宋_GB2312"/>
                <w:sz w:val="24"/>
                <w:color w:val="000000"/>
              </w:rPr>
              <w:t>土壤培肥工程发放肥料为隐蔽工程，应建立肥料登记台账，用来登记各片区乡村、农户、地类、肥料种类、施肥数量等信息，实施过程中要有农户参与，并收集影像资料等，为后续项目验收提供</w:t>
            </w:r>
            <w:r>
              <w:rPr>
                <w:rFonts w:ascii="仿宋_GB2312" w:hAnsi="仿宋_GB2312" w:cs="仿宋_GB2312" w:eastAsia="仿宋_GB2312"/>
                <w:sz w:val="24"/>
                <w:color w:val="000000"/>
              </w:rPr>
              <w:t>支撑性依据。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自合同签订之日起12个月内完成供货（供货时剩余保质期不少于包装保质期的三分之二）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供货完成验收合格后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照国标、招标和项目设计要求进行验收。2、验收方法：产品到达采购人指定地点后，由招投双方、第三方监理机构及项目区所在镇村进行现场验收。交货时，采购方有权对产品进行随机抽检，若检测不合格或不达标，供应商须承担所有费用并免费退换货。3、验收内容 3.1数量、重量：按采购合同清点数量，抽检部分包装进行称重，确保与投标信息一致。 3.2包装及标识：包装完整无破损、无污染，标识规范、详细、清晰，符合标准和招标要求。 3.3外观质量验收：对颜色、形态、气味等进行验收。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自验收合格之日起1年。若产品在保质期内出现质量问题（如养分含量不足、结块、霉变、无效果等），供应商应免费更换或退货，严重者承担一切后果。</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在签订政府采购合同时另行约定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时投标人无需提供纸质版投标文件。中标人在领取中标通知书前将纸质版投标文件打印胶装3份、电子版(U盘)文件3份提交至采购代理公司处，以便采购人进行留存备案等工作，中标人应保持投标文件纸质版内容与电子版内容完全一致，否则将承担一切法律责任。纸质版投标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 （13）《陕西省财政厅关于进一步落实政府采购支持中小企业相关政策的通知》（陕财办采〔2023〕3号）；（14）《陕西省财政厅关于进一步优化政府采购营商环境有关事项的通知》（陕财办采〔2023〕4号）。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提供2024年度经审计的财务报告（成立时间至提交投标文件截止时间不足一年的可提供成立后任意时段的财务报表）或开标前近三个月内基本开户银行开具的资信证明；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营业执照或其他要求</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授权委托要求</w:t>
            </w:r>
          </w:p>
        </w:tc>
        <w:tc>
          <w:tcPr>
            <w:tcW w:type="dxa" w:w="3322"/>
          </w:tcPr>
          <w:p>
            <w:pPr>
              <w:pStyle w:val="null3"/>
            </w:pPr>
            <w:r>
              <w:rPr>
                <w:rFonts w:ascii="仿宋_GB2312" w:hAnsi="仿宋_GB2312" w:cs="仿宋_GB2312" w:eastAsia="仿宋_GB2312"/>
              </w:rPr>
              <w:t>被授权人参加投标只须提供法定代表人授权委托书（附法定代表人、被授权人身份证复印件或扫描件）；法定代表人参加投标只须提供法定代表人身份证明（附法定代表人身份证复印件或扫描件）；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投标人为生产厂家的提供肥料登记证；投标人为代理商的提供生产厂家肥料登记证。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财务状况要求</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提供2024年度经审计的财务报告（成立时间至提交投标文件截止时间不足一年的可提供成立后任意时段的财务报表）或开标前近三个月内基本开户银行开具的资信证明；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缴纳税收的要求</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须提供依法缴纳税收的良好记录（提供投标截止时间前六个月内任意一个月份的缴纳凭据复印件或扫描件并加盖单位公章，依法免税或开标前一年内零申报的投标人应提供相关证明文件）；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缴纳社会保障资金的要求</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须提供依法缴纳社会保障资金的良好记录（提供投标截止时间前六个月内任意一个月份的缴纳凭据复印件或扫描件并加盖单位公章，依法不需要缴纳社会保障资金的投标人应提供相关证明文件）；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无重大违法记录的要求</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投标保证金要求</w:t>
            </w:r>
          </w:p>
        </w:tc>
        <w:tc>
          <w:tcPr>
            <w:tcW w:type="dxa" w:w="3322"/>
          </w:tcPr>
          <w:p>
            <w:pPr>
              <w:pStyle w:val="null3"/>
            </w:pPr>
            <w:r>
              <w:rPr>
                <w:rFonts w:ascii="仿宋_GB2312" w:hAnsi="仿宋_GB2312" w:cs="仿宋_GB2312" w:eastAsia="仿宋_GB2312"/>
              </w:rPr>
              <w:t>提供投标保证金银行转账凭证及基本存款账户信息证明资料或金融机构、担保机构出具的保函复印件或扫描件；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单位负责人为同一人或者存在直接控股、管理关系的不同投标人，不得参加同一合同项下的政府采购活动的要求</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具有履行合同所必需的设备和专业技术能力的要求</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面向中小企业采购政策落实情况</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中小企业声明函 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业绩.docx 中小企业声明函 质量保证措施.docx 其他相关资料.docx 商务响应表.docx 资格证明资料.docx 分项报价表.docx 投标函 售后服务.docx 残疾人福利性单位声明函 技术响应偏离表.docx 标的清单 投标文件封面 实施方案.docx 来源渠道.docx 风险防控.docx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报价唯一，且不能高于最高限价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业绩.docx 中小企业声明函 质量保证措施.docx 其他相关资料.docx 商务响应表.docx 资格证明资料.docx 分项报价表.docx 投标函 售后服务.docx 残疾人福利性单位声明函 技术响应偏离表.docx 标的清单 投标文件封面 实施方案.docx 来源渠道.docx 风险防控.docx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技术响应偏离表.docx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 xml:space="preserve"> 法律、法规和招标文件规定的其他无效情形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开标一览表 业绩.docx 中小企业声明函 质量保证措施.docx 其他相关资料.docx 商务响应表.docx 资格证明资料.docx 分项报价表.docx 投标函 售后服务.docx 残疾人福利性单位声明函 技术响应偏离表.docx 标的清单 投标文件封面 实施方案.docx 来源渠道.docx 风险防控.docx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1、对照招标文件，对技术参数和要求等内容做出的实质性响应，按其响应程度计分，产品品牌、规格、型号描述详细，性能全部满足招标文件得基本分（14分）。 2、加分项（2分）：在基本分的基础上，响应产品技术参数经评标委员会认定确实优于招标文件规定的参数要求，并且对项目实施和应用有实质性提升的（提供证明材料），根据其响应程度进行相应加分，每正偏离一项加0.5分，最多加2分。未提供证明材料的不予加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针对本项目提供完整详细的项目实施方案。内容包含：①供货、配送方案；②进度计划措施；③人员配备；④验收组织方案；⑤产品调换方案及应急处理方案；⑥台账建立和影像资料的留存方案。 二、评审标准 1、完整性：方案须全面，对评审内容中的各项要求有详细描述； 2、可实施性：切合本项目实际情况，实施步骤清晰、合理； 3、针对性：方案能够紧扣项目实际情况，内容科学合理。 三、赋分依据 ①供货、配送方案：每完全满足一个评审标准得1分，满分3分； ②进度计划措施：每完全满足一个评审标准得1分，满分3分； ③人员配备：每完全满足一个评审标准得1分，满分3分； ④验收组织方案：每完全满足一个评审标准得1分，满分3分； ⑤产品调换方案及应急处理方案：每完全满足一个评审标准得1 分，满分3分；⑥台账建立和影像资料的留存方案：每完全满足一个评审标准得1 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风险防控</w:t>
            </w:r>
          </w:p>
        </w:tc>
        <w:tc>
          <w:tcPr>
            <w:tcW w:type="dxa" w:w="2492"/>
          </w:tcPr>
          <w:p>
            <w:pPr>
              <w:pStyle w:val="null3"/>
            </w:pPr>
            <w:r>
              <w:rPr>
                <w:rFonts w:ascii="仿宋_GB2312" w:hAnsi="仿宋_GB2312" w:cs="仿宋_GB2312" w:eastAsia="仿宋_GB2312"/>
              </w:rPr>
              <w:t>一、评审内容 针对本项目提供完整详细的风险防控方案。内容包含：①肥料安全使用防范计划；②包装运输过程安全防范。 二、评审标准 1、完整性：方案须全面，对评审内容中的各项要求有详细描述； 2、可实施性：切合本项目实际情况，实施步骤清晰、合理； 3、针对性：方案能够紧扣项目实际情况，内容科学合理。 三、赋分依据①肥料安全使用防范计划：每完全满足一个评审标准得1分，满分3分；②包装运输过程安全防范：每完全满足一个评审标准得1分，满分3分。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风险防控.docx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根据项目实际需求，提供质量保证方案。内容包含：①质量管理措施；②所投产品制造厂家有可靠、完善的管理制度；③产品的质量保证方案及承诺。 二、评审标准 1、完整性：方案须全面，对评审内容中的各项要求有详细描述； 2、可实施性：切合本项目实际情况，实施步骤清晰、合理； 3、针对性：方案能够紧扣项目实际情况，内容科学合理。 三、赋分依据 ①质量管理措施：每完全满足一个评审标准得1分，满分3分； ②所投产品制造厂家有可靠、完善的管理制度：每完全满足一个评审标准得1分，满分3分；③产品的质量保证方案及承诺:每完全满足一个评审标准得1分，满分3分。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投标人提供所投产品的合法来源渠道证明文件或情况说明，得3分，不提供不得分。投标人可根据自身情况提供以下资料： 1、如投标人为所投产品经销商：提供货物的合法来源渠道证明文件（例如：产品制造商授权、销售协议、代理协议、检验报告等证明文件）； 2、如投标人为所投产品的制造商：需提供证明文件（证明产品为制造商自己生产及检验报告）。 备注：以加盖投标人公章的证明材料复印件或扫描件为计分依据。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根据项目实际需求提供售后及培训服务方案。内容包含：①售后服务方案、售后服务保障措施；②健全的售后服务机构、配备专职售后人员；③售后服务承诺；④技术咨询及指导方案。 二、评审标准 1、完整性：方案须全面，对评审内容中的各项要求有详细描述； 2、可实施性：切合本项目实际情况，提出步骤清晰、合理的方案； 3、针对性：方案能够紧扣项目实际情况，内容科学合理。 三、赋分依据 ①售后服务方案、售后服务保障措施：每完全满足一个评审标准得1分，满分3分； ②健全的售后服务机构、配备专职售后人员：每完全满足一个评审标准得1分，满分3分； ③ 售后服务承诺：每完全满足一个评审标准得1分，满分3分；④ 技术咨询及指导方案：每完全满足一个评审标准得1分，满分3分。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提供2022年6月1日至今类似项目的合同或中标（成交）通知书（以所提供资料的落款时间为准），每提供一份业绩计2分，最高6分。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1、经资格审查及符合性评审合格的投标文件，其投标报价有效； 2、投标报价得分=(评标基准价／投标报价)×30%×100 3、评标基准价=各投标人报价中的最低价。 注：报价应是送达采购人指定地点所发生的全部费用，不做调整。</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详见附件：风险防控.docx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详见附件：来源渠道.docx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