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版本号：ZZT-CG-20251201-0120260115001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2025年自然资源监测工作项目(二次)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ZZT-CG-20251201-01</w:t>
      </w:r>
      <w:r>
        <w:br/>
      </w:r>
      <w:r>
        <w:br/>
      </w:r>
      <w:r>
        <w:br/>
      </w:r>
    </w:p>
    <w:p>
      <w:pPr>
        <w:pStyle w:val="null3"/>
        <w:jc w:val="center"/>
        <w:outlineLvl w:val="2"/>
      </w:pPr>
      <w:r>
        <w:rPr>
          <w:rFonts w:ascii="仿宋_GB2312" w:hAnsi="仿宋_GB2312" w:cs="仿宋_GB2312" w:eastAsia="仿宋_GB2312"/>
          <w:sz w:val="28"/>
          <w:b/>
        </w:rPr>
        <w:t>富平县自然资源局（本级）</w:t>
      </w:r>
    </w:p>
    <w:p>
      <w:pPr>
        <w:pStyle w:val="null3"/>
        <w:jc w:val="center"/>
        <w:outlineLvl w:val="2"/>
      </w:pPr>
      <w:r>
        <w:rPr>
          <w:rFonts w:ascii="仿宋_GB2312" w:hAnsi="仿宋_GB2312" w:cs="仿宋_GB2312" w:eastAsia="仿宋_GB2312"/>
          <w:sz w:val="28"/>
          <w:b/>
        </w:rPr>
        <w:t>中智投工程管理有限公司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中智投工程管理有限公司</w:t>
      </w:r>
      <w:r>
        <w:rPr>
          <w:rFonts w:ascii="仿宋_GB2312" w:hAnsi="仿宋_GB2312" w:cs="仿宋_GB2312" w:eastAsia="仿宋_GB2312"/>
        </w:rPr>
        <w:t>（以下简称“代理机构”）受</w:t>
      </w:r>
      <w:r>
        <w:rPr>
          <w:rFonts w:ascii="仿宋_GB2312" w:hAnsi="仿宋_GB2312" w:cs="仿宋_GB2312" w:eastAsia="仿宋_GB2312"/>
        </w:rPr>
        <w:t>富平县自然资源局（本级）</w:t>
      </w:r>
      <w:r>
        <w:rPr>
          <w:rFonts w:ascii="仿宋_GB2312" w:hAnsi="仿宋_GB2312" w:cs="仿宋_GB2312" w:eastAsia="仿宋_GB2312"/>
        </w:rPr>
        <w:t>委托，拟对</w:t>
      </w:r>
      <w:r>
        <w:rPr>
          <w:rFonts w:ascii="仿宋_GB2312" w:hAnsi="仿宋_GB2312" w:cs="仿宋_GB2312" w:eastAsia="仿宋_GB2312"/>
        </w:rPr>
        <w:t>2025年自然资源监测工作项目(二次)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ZZT-CG-20251201-01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2025年自然资源监测工作项目(二次)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渭南市自然资源和规划局转发省厅关于开展2025年自然资源监测工作的通知》(渭自然资发(2025)176号)文件要求以2024年度国土变更调查成果为底图，开展重点地类及全地类变化监测，掌握相关地类面积、范围、分布和变化等情况，服务全县日常国土变更调查、耕地保护、国土空间规划编制及实施监督、城市体检评估、用途管制、开发利用、生态保护修复、督查执法、林草湿保护等自然资源管理和生态文明建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采购包1（富平县2025年季度及日常变更调查项目）：属于专门面向中小企业采购。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2、法定代表人授权委托书：供应商应授权合法的人员参加投标，其中法定代表人直接参加的，须附法定代表人身份证，并与营业执照上信息一致；被授权代表参加的，须附法定代表人授权书及被授权人身份证；</w:t>
      </w:r>
    </w:p>
    <w:p>
      <w:pPr>
        <w:pStyle w:val="null3"/>
      </w:pPr>
      <w:r>
        <w:rPr>
          <w:rFonts w:ascii="仿宋_GB2312" w:hAnsi="仿宋_GB2312" w:cs="仿宋_GB2312" w:eastAsia="仿宋_GB2312"/>
        </w:rPr>
        <w:t>3、项目负责人：供应商拟派项目负责人须具备测绘专业或测绘相关专业中级或以上职称；</w:t>
      </w:r>
    </w:p>
    <w:p>
      <w:pPr>
        <w:pStyle w:val="null3"/>
      </w:pPr>
      <w:r>
        <w:rPr>
          <w:rFonts w:ascii="仿宋_GB2312" w:hAnsi="仿宋_GB2312" w:cs="仿宋_GB2312" w:eastAsia="仿宋_GB2312"/>
        </w:rPr>
        <w:t>4、资质证书：供应商须提供行政主管部门颁发的测绘乙级以上（含乙级）资质证书；</w:t>
      </w:r>
    </w:p>
    <w:p>
      <w:pPr>
        <w:pStyle w:val="null3"/>
      </w:pPr>
      <w:r>
        <w:rPr>
          <w:rFonts w:ascii="仿宋_GB2312" w:hAnsi="仿宋_GB2312" w:cs="仿宋_GB2312" w:eastAsia="仿宋_GB2312"/>
        </w:rPr>
        <w:t>5、社会保障资金证明：提供 2025 年1月 1 日以来已缴存的至少一个月的社会保障资金缴存单据或社保机构开具的社会保险参保缴费情况证明。依法不需要缴纳社会保障资金的供应商应提供相关文件证明；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6、依法缴纳税收证明：提供 2025年 1 月 1 日以来已缴纳的至少一个月的纳税证明或完税证明，纳税证明或完税证明上应有代收机构或税务机关的公章。依法免税的供应商应提供相关文件证明；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7、健全的财务会计制度：须提供2023年至今任意一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p>
      <w:pPr>
        <w:pStyle w:val="null3"/>
      </w:pPr>
      <w:r>
        <w:rPr>
          <w:rFonts w:ascii="仿宋_GB2312" w:hAnsi="仿宋_GB2312" w:cs="仿宋_GB2312" w:eastAsia="仿宋_GB2312"/>
        </w:rPr>
        <w:t>8、网站截图：供应商未被列入“信用中国”网站(www.creditchina.gov.cn)“记录列入失信被执行人和重大税收违法失信主体截图；不处于中国政府采购网(www.ccgp. gov.cn)“政府采购严重违法失信行为信息记录 ”中的禁止参加政府采购活动期间截图；</w:t>
      </w:r>
    </w:p>
    <w:p>
      <w:pPr>
        <w:pStyle w:val="null3"/>
      </w:pPr>
      <w:r>
        <w:rPr>
          <w:rFonts w:ascii="仿宋_GB2312" w:hAnsi="仿宋_GB2312" w:cs="仿宋_GB2312" w:eastAsia="仿宋_GB2312"/>
        </w:rPr>
        <w:t>9、书面声明：参加本次政府采购活动前三年内在经营活动中没有重大违纪的书面声明；</w:t>
      </w:r>
    </w:p>
    <w:p>
      <w:pPr>
        <w:pStyle w:val="null3"/>
      </w:pPr>
      <w:r>
        <w:rPr>
          <w:rFonts w:ascii="仿宋_GB2312" w:hAnsi="仿宋_GB2312" w:cs="仿宋_GB2312" w:eastAsia="仿宋_GB2312"/>
        </w:rPr>
        <w:t>10、书面承诺：提供具有履行本合同所必需的设备和专业技术能力的说明（提供书面承诺）；</w:t>
      </w:r>
    </w:p>
    <w:p>
      <w:pPr>
        <w:pStyle w:val="null3"/>
      </w:pPr>
      <w:r>
        <w:rPr>
          <w:rFonts w:ascii="仿宋_GB2312" w:hAnsi="仿宋_GB2312" w:cs="仿宋_GB2312" w:eastAsia="仿宋_GB2312"/>
        </w:rPr>
        <w:t>11、书面承诺：供应商单位负责人为同一人或者存在直接控股、管理关系的，不得参加同一合同项下的政府采购活动（提供书面承诺）；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富平县自然资源局（本级）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富平县莲湖大街东段83号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杨晓菊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13992328536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中智投工程管理有限公司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陕西省西安市未央区陕西省西安市未央区渭滨路70号水晶卡芭拉11号楼1单元11301室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18892038099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开户名称：中智投工程管理有限公司富平县分公司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银行账号：61050164830800003047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下浮3%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富平县自然资源局（本级）</w:t>
      </w:r>
      <w:r>
        <w:rPr>
          <w:rFonts w:ascii="仿宋_GB2312" w:hAnsi="仿宋_GB2312" w:cs="仿宋_GB2312" w:eastAsia="仿宋_GB2312"/>
        </w:rPr>
        <w:t>和</w:t>
      </w:r>
      <w:r>
        <w:rPr>
          <w:rFonts w:ascii="仿宋_GB2312" w:hAnsi="仿宋_GB2312" w:cs="仿宋_GB2312" w:eastAsia="仿宋_GB2312"/>
        </w:rPr>
        <w:t>中智投工程管理有限公司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富平县自然资源局（本级）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中智投工程管理有限公司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富平县自然资源局（本级）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中智投工程管理有限公司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交所有成果上报市级、省级核查确认，通过后，所有成果内容上报国家级核查确认通过，所交付成果应严格按照国家最新发布的规范标准执行。必须符合合同、招标文件、投标文件、以及采购人的相关要求等</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中智投工程管理有限公司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中智投工程管理有限公司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中智投工程管理有限公司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联系人：卢苗</w:t>
      </w:r>
    </w:p>
    <w:p>
      <w:pPr>
        <w:pStyle w:val="null3"/>
      </w:pPr>
      <w:r>
        <w:rPr>
          <w:rFonts w:ascii="仿宋_GB2312" w:hAnsi="仿宋_GB2312" w:cs="仿宋_GB2312" w:eastAsia="仿宋_GB2312"/>
        </w:rPr>
        <w:t>联系电话：18892038099</w:t>
      </w:r>
    </w:p>
    <w:p>
      <w:pPr>
        <w:pStyle w:val="null3"/>
      </w:pPr>
      <w:r>
        <w:rPr>
          <w:rFonts w:ascii="仿宋_GB2312" w:hAnsi="仿宋_GB2312" w:cs="仿宋_GB2312" w:eastAsia="仿宋_GB2312"/>
        </w:rPr>
        <w:t>地址：陕西省西安市未央区渭滨路70号水晶卡芭拉11号楼1单元11301室</w:t>
      </w:r>
    </w:p>
    <w:p>
      <w:pPr>
        <w:pStyle w:val="null3"/>
      </w:pPr>
      <w:r>
        <w:rPr>
          <w:rFonts w:ascii="仿宋_GB2312" w:hAnsi="仿宋_GB2312" w:cs="仿宋_GB2312" w:eastAsia="仿宋_GB2312"/>
        </w:rPr>
        <w:t>邮编：710021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渭南市自然资源和规划局转发省厅关于开展2025年自然资源监测工作的通知》(渭自然资发(2025)176号)文件要求以2024年度国土变更调查成果为底图，开展重点地类及全地类变化监测，掌握相关地类面积、范围、分布和变化等情况，服务全县日常国土变更调查、耕地保护、国土空间规划编制及实施监督、城市体检评估、用途管制、开发利用、生态保护修复、督查执法、林草湿保护等自然资源管理和生态文明建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富平县2025年季度及日常变更调查项目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标的名称：富平县2025年季度及日常变更调查项目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after="150"/>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工作背景</w:t>
            </w:r>
          </w:p>
          <w:p>
            <w:pPr>
              <w:pStyle w:val="null3"/>
              <w:ind w:firstLine="420"/>
            </w:pPr>
            <w:r>
              <w:rPr>
                <w:rFonts w:ascii="仿宋_GB2312" w:hAnsi="仿宋_GB2312" w:cs="仿宋_GB2312" w:eastAsia="仿宋_GB2312"/>
                <w:sz w:val="21"/>
              </w:rPr>
              <w:t>按照《自然资源部办公厅国家林草局办公室关于开展</w:t>
            </w:r>
            <w:r>
              <w:rPr>
                <w:rFonts w:ascii="仿宋_GB2312" w:hAnsi="仿宋_GB2312" w:cs="仿宋_GB2312" w:eastAsia="仿宋_GB2312"/>
                <w:sz w:val="21"/>
              </w:rPr>
              <w:t>2025年度全国国土变更调查及森林草原湿地荒调查监测工作的通知》（自然资办发〔2025〕33号）、《</w:t>
            </w:r>
            <w:r>
              <w:rPr>
                <w:rFonts w:ascii="仿宋_GB2312" w:hAnsi="仿宋_GB2312" w:cs="仿宋_GB2312" w:eastAsia="仿宋_GB2312"/>
                <w:sz w:val="21"/>
              </w:rPr>
              <w:t>陕西省</w:t>
            </w:r>
            <w:r>
              <w:rPr>
                <w:rFonts w:ascii="仿宋_GB2312" w:hAnsi="仿宋_GB2312" w:cs="仿宋_GB2312" w:eastAsia="仿宋_GB2312"/>
                <w:sz w:val="21"/>
              </w:rPr>
              <w:t>自然资源厅</w:t>
            </w:r>
            <w:r>
              <w:rPr>
                <w:rFonts w:ascii="仿宋_GB2312" w:hAnsi="仿宋_GB2312" w:cs="仿宋_GB2312" w:eastAsia="仿宋_GB2312"/>
              </w:rPr>
              <w:t xml:space="preserve"> </w:t>
            </w:r>
            <w:r>
              <w:rPr>
                <w:rFonts w:ascii="仿宋_GB2312" w:hAnsi="仿宋_GB2312" w:cs="仿宋_GB2312" w:eastAsia="仿宋_GB2312"/>
                <w:sz w:val="21"/>
              </w:rPr>
              <w:t>陕西省林业局关于</w:t>
            </w:r>
            <w:r>
              <w:rPr>
                <w:rFonts w:ascii="仿宋_GB2312" w:hAnsi="仿宋_GB2312" w:cs="仿宋_GB2312" w:eastAsia="仿宋_GB2312"/>
                <w:sz w:val="21"/>
              </w:rPr>
              <w:t>做好</w:t>
            </w:r>
            <w:r>
              <w:rPr>
                <w:rFonts w:ascii="仿宋_GB2312" w:hAnsi="仿宋_GB2312" w:cs="仿宋_GB2312" w:eastAsia="仿宋_GB2312"/>
                <w:sz w:val="21"/>
              </w:rPr>
              <w:t>2025年度国土变更调查及森林草原湿地</w:t>
            </w:r>
            <w:r>
              <w:rPr>
                <w:rFonts w:ascii="仿宋_GB2312" w:hAnsi="仿宋_GB2312" w:cs="仿宋_GB2312" w:eastAsia="仿宋_GB2312"/>
                <w:sz w:val="21"/>
              </w:rPr>
              <w:t>荒漠</w:t>
            </w:r>
            <w:r>
              <w:rPr>
                <w:rFonts w:ascii="仿宋_GB2312" w:hAnsi="仿宋_GB2312" w:cs="仿宋_GB2312" w:eastAsia="仿宋_GB2312"/>
                <w:sz w:val="21"/>
              </w:rPr>
              <w:t>调查监测工作的通知》（陕自然资发〔</w:t>
            </w:r>
            <w:r>
              <w:rPr>
                <w:rFonts w:ascii="仿宋_GB2312" w:hAnsi="仿宋_GB2312" w:cs="仿宋_GB2312" w:eastAsia="仿宋_GB2312"/>
                <w:sz w:val="21"/>
              </w:rPr>
              <w:t>2025〕1425号）等要有关文件的要求，在2024年度国土变更成果基础上，按照国家统一标准，统筹使用国、省遥感监测成果以及各类自然资源管理成果，利用最新卫星遥感影像，</w:t>
            </w:r>
            <w:r>
              <w:rPr>
                <w:rFonts w:ascii="仿宋_GB2312" w:hAnsi="仿宋_GB2312" w:cs="仿宋_GB2312" w:eastAsia="仿宋_GB2312"/>
                <w:sz w:val="21"/>
              </w:rPr>
              <w:t>县</w:t>
            </w:r>
            <w:r>
              <w:rPr>
                <w:rFonts w:ascii="仿宋_GB2312" w:hAnsi="仿宋_GB2312" w:cs="仿宋_GB2312" w:eastAsia="仿宋_GB2312"/>
                <w:sz w:val="21"/>
              </w:rPr>
              <w:t>级通过实地调查，市级检查、省级、国家级核查，掌握</w:t>
            </w:r>
            <w:r>
              <w:rPr>
                <w:rFonts w:ascii="仿宋_GB2312" w:hAnsi="仿宋_GB2312" w:cs="仿宋_GB2312" w:eastAsia="仿宋_GB2312"/>
                <w:sz w:val="21"/>
              </w:rPr>
              <w:t>2025年度全</w:t>
            </w:r>
            <w:r>
              <w:rPr>
                <w:rFonts w:ascii="仿宋_GB2312" w:hAnsi="仿宋_GB2312" w:cs="仿宋_GB2312" w:eastAsia="仿宋_GB2312"/>
                <w:sz w:val="21"/>
              </w:rPr>
              <w:t>县</w:t>
            </w:r>
            <w:r>
              <w:rPr>
                <w:rFonts w:ascii="仿宋_GB2312" w:hAnsi="仿宋_GB2312" w:cs="仿宋_GB2312" w:eastAsia="仿宋_GB2312"/>
                <w:sz w:val="21"/>
              </w:rPr>
              <w:t>土利用的变化情况，更新国土调查数据库，保持国土调查成果的现势性和准确性。</w:t>
            </w:r>
          </w:p>
          <w:p>
            <w:pPr>
              <w:pStyle w:val="null3"/>
              <w:spacing w:before="150" w:after="150"/>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、服务内容</w:t>
            </w:r>
          </w:p>
          <w:p>
            <w:pPr>
              <w:pStyle w:val="null3"/>
              <w:ind w:firstLine="420"/>
            </w:pPr>
            <w:r>
              <w:rPr>
                <w:rFonts w:ascii="仿宋_GB2312" w:hAnsi="仿宋_GB2312" w:cs="仿宋_GB2312" w:eastAsia="仿宋_GB2312"/>
                <w:sz w:val="21"/>
                <w:color w:val="000000"/>
              </w:rPr>
              <w:t>按照国家统一标准，在上年度变更调查成果基础上，以</w:t>
            </w:r>
            <w:r>
              <w:rPr>
                <w:rFonts w:ascii="仿宋_GB2312" w:hAnsi="仿宋_GB2312" w:cs="仿宋_GB2312" w:eastAsia="仿宋_GB2312"/>
                <w:sz w:val="21"/>
                <w:color w:val="000000"/>
              </w:rPr>
              <w:t>2025年12月31日为标准时点，统筹使用部、省遥感监测成果以及相关自然资源管理信息，制作外业调查底图并开展实地调查举证，全面掌握全县2025年度</w:t>
            </w:r>
            <w:r>
              <w:rPr>
                <w:rFonts w:ascii="仿宋_GB2312" w:hAnsi="仿宋_GB2312" w:cs="仿宋_GB2312" w:eastAsia="仿宋_GB2312"/>
                <w:sz w:val="21"/>
                <w:color w:val="000000"/>
              </w:rPr>
              <w:t>季度及日常变更</w:t>
            </w:r>
            <w:r>
              <w:rPr>
                <w:rFonts w:ascii="仿宋_GB2312" w:hAnsi="仿宋_GB2312" w:cs="仿宋_GB2312" w:eastAsia="仿宋_GB2312"/>
                <w:sz w:val="21"/>
                <w:color w:val="000000"/>
              </w:rPr>
              <w:t>的地类、面积、属性及相关图层属性信息的变化情况，更新县级国土调查数据库，形成</w:t>
            </w:r>
            <w:r>
              <w:rPr>
                <w:rFonts w:ascii="仿宋_GB2312" w:hAnsi="仿宋_GB2312" w:cs="仿宋_GB2312" w:eastAsia="仿宋_GB2312"/>
                <w:sz w:val="21"/>
                <w:color w:val="000000"/>
              </w:rPr>
              <w:t>日常变更</w:t>
            </w:r>
            <w:r>
              <w:rPr>
                <w:rFonts w:ascii="仿宋_GB2312" w:hAnsi="仿宋_GB2312" w:cs="仿宋_GB2312" w:eastAsia="仿宋_GB2312"/>
                <w:sz w:val="21"/>
                <w:color w:val="000000"/>
              </w:rPr>
              <w:t>增量包，逐级</w:t>
            </w:r>
            <w:r>
              <w:rPr>
                <w:rFonts w:ascii="仿宋_GB2312" w:hAnsi="仿宋_GB2312" w:cs="仿宋_GB2312" w:eastAsia="仿宋_GB2312"/>
                <w:sz w:val="21"/>
                <w:color w:val="000000"/>
              </w:rPr>
              <w:t>上报</w:t>
            </w:r>
            <w:r>
              <w:rPr>
                <w:rFonts w:ascii="仿宋_GB2312" w:hAnsi="仿宋_GB2312" w:cs="仿宋_GB2312" w:eastAsia="仿宋_GB2312"/>
                <w:sz w:val="21"/>
                <w:color w:val="000000"/>
              </w:rPr>
              <w:t>核查</w:t>
            </w:r>
            <w:r>
              <w:rPr>
                <w:rFonts w:ascii="仿宋_GB2312" w:hAnsi="仿宋_GB2312" w:cs="仿宋_GB2312" w:eastAsia="仿宋_GB2312"/>
                <w:sz w:val="21"/>
                <w:color w:val="000000"/>
              </w:rPr>
              <w:t>;</w:t>
            </w:r>
            <w:r>
              <w:rPr>
                <w:rFonts w:ascii="仿宋_GB2312" w:hAnsi="仿宋_GB2312" w:cs="仿宋_GB2312" w:eastAsia="仿宋_GB2312"/>
                <w:sz w:val="21"/>
                <w:color w:val="000000"/>
              </w:rPr>
              <w:t>通过调查、统计和分析，掌握</w:t>
            </w:r>
            <w:r>
              <w:rPr>
                <w:rFonts w:ascii="仿宋_GB2312" w:hAnsi="仿宋_GB2312" w:cs="仿宋_GB2312" w:eastAsia="仿宋_GB2312"/>
                <w:sz w:val="21"/>
                <w:color w:val="000000"/>
              </w:rPr>
              <w:t>2025年</w:t>
            </w:r>
            <w:r>
              <w:rPr>
                <w:rFonts w:ascii="仿宋_GB2312" w:hAnsi="仿宋_GB2312" w:cs="仿宋_GB2312" w:eastAsia="仿宋_GB2312"/>
                <w:sz w:val="21"/>
                <w:color w:val="000000"/>
              </w:rPr>
              <w:t>日常变更调查的</w:t>
            </w:r>
            <w:r>
              <w:rPr>
                <w:rFonts w:ascii="仿宋_GB2312" w:hAnsi="仿宋_GB2312" w:cs="仿宋_GB2312" w:eastAsia="仿宋_GB2312"/>
                <w:sz w:val="21"/>
                <w:color w:val="000000"/>
              </w:rPr>
              <w:t>永久基本农田变化，建设占用农用地、耕地非粮化、耕地非农化状况，设施农用地变化，</w:t>
            </w:r>
            <w:r>
              <w:rPr>
                <w:rFonts w:ascii="仿宋_GB2312" w:hAnsi="仿宋_GB2312" w:cs="仿宋_GB2312" w:eastAsia="仿宋_GB2312"/>
                <w:sz w:val="21"/>
                <w:color w:val="000000"/>
              </w:rPr>
              <w:t>25度和15度以上坡耕地变化，建设用地变化，未利用地变化等状况。主要任务包括：</w:t>
            </w:r>
          </w:p>
          <w:p>
            <w:pPr>
              <w:pStyle w:val="null3"/>
              <w:ind w:firstLine="420"/>
            </w:pPr>
            <w:r>
              <w:rPr>
                <w:rFonts w:ascii="仿宋_GB2312" w:hAnsi="仿宋_GB2312" w:cs="仿宋_GB2312" w:eastAsia="仿宋_GB2312"/>
                <w:sz w:val="21"/>
                <w:color w:val="000000"/>
              </w:rPr>
              <w:t>1、</w:t>
            </w:r>
            <w:r>
              <w:rPr>
                <w:rFonts w:ascii="仿宋_GB2312" w:hAnsi="仿宋_GB2312" w:cs="仿宋_GB2312" w:eastAsia="仿宋_GB2312"/>
                <w:sz w:val="21"/>
                <w:color w:val="000000"/>
              </w:rPr>
              <w:t>准备基础资料：接收县级的</w:t>
            </w:r>
            <w:r>
              <w:rPr>
                <w:rFonts w:ascii="仿宋_GB2312" w:hAnsi="仿宋_GB2312" w:cs="仿宋_GB2312" w:eastAsia="仿宋_GB2312"/>
                <w:sz w:val="21"/>
                <w:color w:val="000000"/>
              </w:rPr>
              <w:t>“变更调查”基础资料，包括基础数据、遥感监测成果、用地管理信息及其他相关资料。</w:t>
            </w:r>
          </w:p>
          <w:p>
            <w:pPr>
              <w:pStyle w:val="null3"/>
              <w:ind w:firstLine="420"/>
            </w:pPr>
            <w:r>
              <w:rPr>
                <w:rFonts w:ascii="仿宋_GB2312" w:hAnsi="仿宋_GB2312" w:cs="仿宋_GB2312" w:eastAsia="仿宋_GB2312"/>
                <w:sz w:val="21"/>
                <w:color w:val="000000"/>
              </w:rPr>
              <w:t>2、</w:t>
            </w:r>
            <w:r>
              <w:rPr>
                <w:rFonts w:ascii="仿宋_GB2312" w:hAnsi="仿宋_GB2312" w:cs="仿宋_GB2312" w:eastAsia="仿宋_GB2312"/>
                <w:sz w:val="21"/>
                <w:color w:val="000000"/>
              </w:rPr>
              <w:t>开展县级调查工作：以</w:t>
            </w:r>
            <w:r>
              <w:rPr>
                <w:rFonts w:ascii="仿宋_GB2312" w:hAnsi="仿宋_GB2312" w:cs="仿宋_GB2312" w:eastAsia="仿宋_GB2312"/>
                <w:sz w:val="21"/>
                <w:color w:val="000000"/>
              </w:rPr>
              <w:t>2025年12月31日为统一时点，以实地现状认定地类为原则，统筹使用接收的“变更调查”基础资料、 陕西省2025年度遥感监测成果以及县级各类自然资源管理信息，通过内业解译以及外业实地调查举证，全面查清全县内</w:t>
            </w:r>
            <w:r>
              <w:rPr>
                <w:rFonts w:ascii="仿宋_GB2312" w:hAnsi="仿宋_GB2312" w:cs="仿宋_GB2312" w:eastAsia="仿宋_GB2312"/>
                <w:sz w:val="21"/>
                <w:color w:val="000000"/>
              </w:rPr>
              <w:t>日常变更</w:t>
            </w:r>
            <w:r>
              <w:rPr>
                <w:rFonts w:ascii="仿宋_GB2312" w:hAnsi="仿宋_GB2312" w:cs="仿宋_GB2312" w:eastAsia="仿宋_GB2312"/>
                <w:sz w:val="21"/>
                <w:color w:val="000000"/>
              </w:rPr>
              <w:t>每一块变化图斑的地类、属性、范围和权属等实际情况，形成</w:t>
            </w:r>
            <w:r>
              <w:rPr>
                <w:rFonts w:ascii="仿宋_GB2312" w:hAnsi="仿宋_GB2312" w:cs="仿宋_GB2312" w:eastAsia="仿宋_GB2312"/>
                <w:sz w:val="21"/>
                <w:color w:val="000000"/>
              </w:rPr>
              <w:t>日常变更成果</w:t>
            </w:r>
            <w:r>
              <w:rPr>
                <w:rFonts w:ascii="仿宋_GB2312" w:hAnsi="仿宋_GB2312" w:cs="仿宋_GB2312" w:eastAsia="仿宋_GB2312"/>
                <w:sz w:val="21"/>
                <w:color w:val="000000"/>
              </w:rPr>
              <w:t>。</w:t>
            </w:r>
          </w:p>
          <w:p>
            <w:pPr>
              <w:pStyle w:val="null3"/>
              <w:ind w:firstLine="420"/>
            </w:pPr>
            <w:r>
              <w:rPr>
                <w:rFonts w:ascii="仿宋_GB2312" w:hAnsi="仿宋_GB2312" w:cs="仿宋_GB2312" w:eastAsia="仿宋_GB2312"/>
                <w:sz w:val="21"/>
                <w:color w:val="000000"/>
              </w:rPr>
              <w:t>3、</w:t>
            </w:r>
            <w:r>
              <w:rPr>
                <w:rFonts w:ascii="仿宋_GB2312" w:hAnsi="仿宋_GB2312" w:cs="仿宋_GB2312" w:eastAsia="仿宋_GB2312"/>
                <w:sz w:val="21"/>
                <w:color w:val="000000"/>
              </w:rPr>
              <w:t>县级国土调查数据库更新：要在上年度国土调查数据库基础上，对涉及地类属性及相关图层变更的图斑，按照数据库更新技术要求，形成</w:t>
            </w:r>
            <w:r>
              <w:rPr>
                <w:rFonts w:ascii="仿宋_GB2312" w:hAnsi="仿宋_GB2312" w:cs="仿宋_GB2312" w:eastAsia="仿宋_GB2312"/>
                <w:sz w:val="21"/>
                <w:color w:val="000000"/>
              </w:rPr>
              <w:t>季度及日常变更</w:t>
            </w:r>
            <w:r>
              <w:rPr>
                <w:rFonts w:ascii="仿宋_GB2312" w:hAnsi="仿宋_GB2312" w:cs="仿宋_GB2312" w:eastAsia="仿宋_GB2312"/>
                <w:sz w:val="21"/>
                <w:color w:val="000000"/>
              </w:rPr>
              <w:t>变更调查更新数据增量包以及数据库，自检合格后上报市级、省级核查。</w:t>
            </w:r>
          </w:p>
          <w:p>
            <w:pPr>
              <w:pStyle w:val="null3"/>
              <w:spacing w:before="210"/>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、服务质量标准及要求</w:t>
            </w:r>
          </w:p>
          <w:p>
            <w:pPr>
              <w:pStyle w:val="null3"/>
              <w:ind w:firstLine="420"/>
            </w:pPr>
            <w:r>
              <w:rPr>
                <w:rFonts w:ascii="仿宋_GB2312" w:hAnsi="仿宋_GB2312" w:cs="仿宋_GB2312" w:eastAsia="仿宋_GB2312"/>
                <w:sz w:val="21"/>
                <w:color w:val="000000"/>
              </w:rPr>
              <w:t>1、质量标准：符合国家标准、行业标准以及有关技术规范要求。</w:t>
            </w:r>
          </w:p>
          <w:p>
            <w:pPr>
              <w:pStyle w:val="null3"/>
              <w:ind w:firstLine="420"/>
            </w:pPr>
            <w:r>
              <w:rPr>
                <w:rFonts w:ascii="仿宋_GB2312" w:hAnsi="仿宋_GB2312" w:cs="仿宋_GB2312" w:eastAsia="仿宋_GB2312"/>
                <w:sz w:val="21"/>
                <w:color w:val="000000"/>
              </w:rPr>
              <w:t>2、严格遵守国家有关法律、法规、执行国家相关规范和技术标准、规定，并对成果负责。</w:t>
            </w:r>
          </w:p>
          <w:p>
            <w:pPr>
              <w:pStyle w:val="null3"/>
              <w:ind w:firstLine="420"/>
            </w:pPr>
            <w:r>
              <w:rPr>
                <w:rFonts w:ascii="仿宋_GB2312" w:hAnsi="仿宋_GB2312" w:cs="仿宋_GB2312" w:eastAsia="仿宋_GB2312"/>
                <w:sz w:val="21"/>
                <w:color w:val="000000"/>
              </w:rPr>
              <w:t>3、提交所有成果上报市级、省级核查确认，通过后，所有成果内容上报国家级核查确认通过，所交付成果应严格按照国家最新发布的规范标准执行。</w:t>
            </w:r>
          </w:p>
          <w:p>
            <w:pPr>
              <w:pStyle w:val="null3"/>
              <w:spacing w:before="210"/>
            </w:pPr>
            <w:r>
              <w:rPr>
                <w:rFonts w:ascii="仿宋_GB2312" w:hAnsi="仿宋_GB2312" w:cs="仿宋_GB2312" w:eastAsia="仿宋_GB2312"/>
                <w:sz w:val="21"/>
                <w:b/>
                <w:color w:val="000000"/>
              </w:rPr>
              <w:t>四</w:t>
            </w:r>
            <w:r>
              <w:rPr>
                <w:rFonts w:ascii="仿宋_GB2312" w:hAnsi="仿宋_GB2312" w:cs="仿宋_GB2312" w:eastAsia="仿宋_GB2312"/>
                <w:sz w:val="21"/>
                <w:b/>
                <w:color w:val="000000"/>
              </w:rPr>
              <w:t>、技术要求</w:t>
            </w:r>
          </w:p>
          <w:p>
            <w:pPr>
              <w:pStyle w:val="null3"/>
              <w:ind w:firstLine="420"/>
            </w:pPr>
            <w:r>
              <w:rPr>
                <w:rFonts w:ascii="仿宋_GB2312" w:hAnsi="仿宋_GB2312" w:cs="仿宋_GB2312" w:eastAsia="仿宋_GB2312"/>
                <w:sz w:val="21"/>
                <w:color w:val="000000"/>
              </w:rPr>
              <w:t>1、《自然资源部办公厅国家林草局办公室关于开展2025年度全国国土变更调查及森林草原湿地荒调查监测工作的通知》（自然资办发〔2025〕33号）；</w:t>
            </w:r>
          </w:p>
          <w:p>
            <w:pPr>
              <w:pStyle w:val="null3"/>
              <w:ind w:firstLine="420"/>
            </w:pPr>
            <w:r>
              <w:rPr>
                <w:rFonts w:ascii="仿宋_GB2312" w:hAnsi="仿宋_GB2312" w:cs="仿宋_GB2312" w:eastAsia="仿宋_GB2312"/>
                <w:sz w:val="21"/>
                <w:color w:val="000000"/>
              </w:rPr>
              <w:t>2、《陕西省自然资源厅 陕西省林业局关于做好2025年度国土变更调查及森林草原湿地荒漠调查监测工作的通知》（陕自然资发〔2025〕1425号）</w:t>
            </w:r>
          </w:p>
          <w:p>
            <w:pPr>
              <w:pStyle w:val="null3"/>
              <w:ind w:firstLine="420"/>
            </w:pPr>
            <w:r>
              <w:rPr>
                <w:rFonts w:ascii="仿宋_GB2312" w:hAnsi="仿宋_GB2312" w:cs="仿宋_GB2312" w:eastAsia="仿宋_GB2312"/>
                <w:sz w:val="21"/>
                <w:color w:val="000000"/>
              </w:rPr>
              <w:t>3、</w:t>
            </w:r>
            <w:r>
              <w:rPr>
                <w:rFonts w:ascii="仿宋_GB2312" w:hAnsi="仿宋_GB2312" w:cs="仿宋_GB2312" w:eastAsia="仿宋_GB2312"/>
                <w:sz w:val="21"/>
                <w:color w:val="000000"/>
              </w:rPr>
              <w:t>《陕西省自然资源厅关于开展</w:t>
            </w:r>
            <w:r>
              <w:rPr>
                <w:rFonts w:ascii="仿宋_GB2312" w:hAnsi="仿宋_GB2312" w:cs="仿宋_GB2312" w:eastAsia="仿宋_GB2312"/>
                <w:sz w:val="21"/>
                <w:color w:val="000000"/>
              </w:rPr>
              <w:t>2025 年自然资源监测工作的通知》（陕自然资调查发〔2025〕572 号）</w:t>
            </w:r>
          </w:p>
          <w:p>
            <w:pPr>
              <w:pStyle w:val="null3"/>
              <w:ind w:firstLine="420"/>
            </w:pPr>
            <w:r>
              <w:rPr>
                <w:rFonts w:ascii="仿宋_GB2312" w:hAnsi="仿宋_GB2312" w:cs="仿宋_GB2312" w:eastAsia="仿宋_GB2312"/>
                <w:sz w:val="21"/>
                <w:color w:val="000000"/>
              </w:rPr>
              <w:t>4、《土地利用现状分类》（GB/T 21010-2017）；</w:t>
            </w:r>
          </w:p>
          <w:p>
            <w:pPr>
              <w:pStyle w:val="null3"/>
              <w:ind w:firstLine="420"/>
            </w:pPr>
            <w:r>
              <w:rPr>
                <w:rFonts w:ascii="仿宋_GB2312" w:hAnsi="仿宋_GB2312" w:cs="仿宋_GB2312" w:eastAsia="仿宋_GB2312"/>
                <w:sz w:val="21"/>
                <w:color w:val="000000"/>
              </w:rPr>
              <w:t>5、《国土空间调查、规划、用途管制用地用海分类指南》；</w:t>
            </w:r>
          </w:p>
          <w:p>
            <w:pPr>
              <w:pStyle w:val="null3"/>
              <w:ind w:firstLine="420"/>
            </w:pPr>
            <w:r>
              <w:rPr>
                <w:rFonts w:ascii="仿宋_GB2312" w:hAnsi="仿宋_GB2312" w:cs="仿宋_GB2312" w:eastAsia="仿宋_GB2312"/>
                <w:sz w:val="21"/>
                <w:color w:val="000000"/>
              </w:rPr>
              <w:t>6、《第三次全国国土调查技术规程》（TD/T1055-2019）；</w:t>
            </w:r>
          </w:p>
          <w:p>
            <w:pPr>
              <w:pStyle w:val="null3"/>
              <w:ind w:firstLine="420"/>
            </w:pPr>
            <w:r>
              <w:rPr>
                <w:rFonts w:ascii="仿宋_GB2312" w:hAnsi="仿宋_GB2312" w:cs="仿宋_GB2312" w:eastAsia="仿宋_GB2312"/>
                <w:sz w:val="21"/>
                <w:color w:val="000000"/>
              </w:rPr>
              <w:t>7、《国土调查数据库标准》（TD/T1057-2020）；</w:t>
            </w:r>
          </w:p>
          <w:p>
            <w:pPr>
              <w:pStyle w:val="null3"/>
              <w:ind w:firstLine="420"/>
            </w:pPr>
            <w:r>
              <w:rPr>
                <w:rFonts w:ascii="仿宋_GB2312" w:hAnsi="仿宋_GB2312" w:cs="仿宋_GB2312" w:eastAsia="仿宋_GB2312"/>
                <w:sz w:val="21"/>
                <w:color w:val="000000"/>
              </w:rPr>
              <w:t>8、《国土调查数据库更新数据规范》（TD/T 1083-2023）；</w:t>
            </w:r>
          </w:p>
          <w:p>
            <w:pPr>
              <w:pStyle w:val="null3"/>
              <w:ind w:firstLine="420"/>
            </w:pPr>
            <w:r>
              <w:rPr>
                <w:rFonts w:ascii="仿宋_GB2312" w:hAnsi="仿宋_GB2312" w:cs="仿宋_GB2312" w:eastAsia="仿宋_GB2312"/>
                <w:sz w:val="21"/>
                <w:color w:val="000000"/>
              </w:rPr>
              <w:t>9、《第三次全国国土调查耕地资源质量分类数据库标准》；</w:t>
            </w:r>
          </w:p>
          <w:p>
            <w:pPr>
              <w:pStyle w:val="null3"/>
              <w:ind w:firstLine="420"/>
            </w:pPr>
            <w:r>
              <w:rPr>
                <w:rFonts w:ascii="仿宋_GB2312" w:hAnsi="仿宋_GB2312" w:cs="仿宋_GB2312" w:eastAsia="仿宋_GB2312"/>
                <w:sz w:val="21"/>
                <w:color w:val="000000"/>
              </w:rPr>
              <w:t>10、《国土变更调查技术规程》（2025年度适用）；</w:t>
            </w:r>
          </w:p>
          <w:p>
            <w:pPr>
              <w:pStyle w:val="null3"/>
              <w:ind w:firstLine="420"/>
            </w:pPr>
            <w:r>
              <w:rPr>
                <w:rFonts w:ascii="仿宋_GB2312" w:hAnsi="仿宋_GB2312" w:cs="仿宋_GB2312" w:eastAsia="仿宋_GB2312"/>
                <w:sz w:val="21"/>
                <w:color w:val="000000"/>
              </w:rPr>
              <w:t>11、《2025年陕西省耕地资源分区分类评价工作方案》；</w:t>
            </w:r>
          </w:p>
          <w:p>
            <w:pPr>
              <w:pStyle w:val="null3"/>
              <w:ind w:firstLine="420"/>
            </w:pPr>
            <w:r>
              <w:rPr>
                <w:rFonts w:ascii="仿宋_GB2312" w:hAnsi="仿宋_GB2312" w:cs="仿宋_GB2312" w:eastAsia="仿宋_GB2312"/>
                <w:sz w:val="21"/>
                <w:color w:val="000000"/>
              </w:rPr>
              <w:t>12、《2025年度全国国土变更调查及森林草原湿地荒漠调查监测实施方案》。</w:t>
            </w:r>
          </w:p>
          <w:p>
            <w:pPr>
              <w:pStyle w:val="null3"/>
            </w:pPr>
            <w:r>
              <w:rPr>
                <w:rFonts w:ascii="仿宋_GB2312" w:hAnsi="仿宋_GB2312" w:cs="仿宋_GB2312" w:eastAsia="仿宋_GB2312"/>
                <w:sz w:val="21"/>
                <w:b/>
                <w:color w:val="000000"/>
              </w:rPr>
              <w:t>五</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提交</w:t>
            </w:r>
            <w:r>
              <w:rPr>
                <w:rFonts w:ascii="仿宋_GB2312" w:hAnsi="仿宋_GB2312" w:cs="仿宋_GB2312" w:eastAsia="仿宋_GB2312"/>
                <w:sz w:val="21"/>
                <w:b/>
                <w:color w:val="000000"/>
              </w:rPr>
              <w:t>成果</w:t>
            </w:r>
          </w:p>
          <w:p>
            <w:pPr>
              <w:pStyle w:val="null3"/>
              <w:ind w:right="60" w:firstLine="504"/>
            </w:pPr>
            <w:r>
              <w:rPr>
                <w:rFonts w:ascii="仿宋_GB2312" w:hAnsi="仿宋_GB2312" w:cs="仿宋_GB2312" w:eastAsia="仿宋_GB2312"/>
                <w:sz w:val="21"/>
                <w:color w:val="000000"/>
              </w:rPr>
              <w:t>1、</w:t>
            </w:r>
            <w:r>
              <w:rPr>
                <w:rFonts w:ascii="仿宋_GB2312" w:hAnsi="仿宋_GB2312" w:cs="仿宋_GB2312" w:eastAsia="仿宋_GB2312"/>
                <w:sz w:val="21"/>
                <w:color w:val="000000"/>
              </w:rPr>
              <w:t>遥感监测成果：包括遥感正射影像图、遥感监测图斑。</w:t>
            </w:r>
          </w:p>
          <w:p>
            <w:pPr>
              <w:pStyle w:val="null3"/>
              <w:ind w:right="60" w:firstLine="504"/>
            </w:pPr>
            <w:r>
              <w:rPr>
                <w:rFonts w:ascii="仿宋_GB2312" w:hAnsi="仿宋_GB2312" w:cs="仿宋_GB2312" w:eastAsia="仿宋_GB2312"/>
                <w:sz w:val="21"/>
                <w:color w:val="000000"/>
              </w:rPr>
              <w:t>2、</w:t>
            </w:r>
            <w:r>
              <w:rPr>
                <w:rFonts w:ascii="仿宋_GB2312" w:hAnsi="仿宋_GB2312" w:cs="仿宋_GB2312" w:eastAsia="仿宋_GB2312"/>
                <w:sz w:val="21"/>
                <w:color w:val="000000"/>
              </w:rPr>
              <w:t>外业调查成果：包含外业调查图斑举证数据包（</w:t>
            </w:r>
            <w:r>
              <w:rPr>
                <w:rFonts w:ascii="仿宋_GB2312" w:hAnsi="仿宋_GB2312" w:cs="仿宋_GB2312" w:eastAsia="仿宋_GB2312"/>
                <w:sz w:val="21"/>
                <w:color w:val="000000"/>
              </w:rPr>
              <w:t>DB格式）。</w:t>
            </w:r>
          </w:p>
          <w:p>
            <w:pPr>
              <w:pStyle w:val="null3"/>
              <w:ind w:right="60" w:firstLine="504"/>
            </w:pPr>
            <w:r>
              <w:rPr>
                <w:rFonts w:ascii="仿宋_GB2312" w:hAnsi="仿宋_GB2312" w:cs="仿宋_GB2312" w:eastAsia="仿宋_GB2312"/>
                <w:sz w:val="21"/>
                <w:color w:val="000000"/>
              </w:rPr>
              <w:t>3、</w:t>
            </w:r>
            <w:r>
              <w:rPr>
                <w:rFonts w:ascii="仿宋_GB2312" w:hAnsi="仿宋_GB2312" w:cs="仿宋_GB2312" w:eastAsia="仿宋_GB2312"/>
                <w:sz w:val="21"/>
                <w:color w:val="000000"/>
              </w:rPr>
              <w:t>数据库成果：国土调查</w:t>
            </w:r>
            <w:r>
              <w:rPr>
                <w:rFonts w:ascii="仿宋_GB2312" w:hAnsi="仿宋_GB2312" w:cs="仿宋_GB2312" w:eastAsia="仿宋_GB2312"/>
                <w:sz w:val="21"/>
                <w:color w:val="000000"/>
              </w:rPr>
              <w:t>日常变更</w:t>
            </w:r>
            <w:r>
              <w:rPr>
                <w:rFonts w:ascii="仿宋_GB2312" w:hAnsi="仿宋_GB2312" w:cs="仿宋_GB2312" w:eastAsia="仿宋_GB2312"/>
                <w:sz w:val="21"/>
                <w:color w:val="000000"/>
              </w:rPr>
              <w:t>数据库更新数据。</w:t>
            </w:r>
          </w:p>
          <w:p>
            <w:pPr>
              <w:pStyle w:val="null3"/>
              <w:ind w:right="60" w:firstLine="504"/>
            </w:pPr>
            <w:r>
              <w:rPr>
                <w:rFonts w:ascii="仿宋_GB2312" w:hAnsi="仿宋_GB2312" w:cs="仿宋_GB2312" w:eastAsia="仿宋_GB2312"/>
                <w:sz w:val="21"/>
                <w:color w:val="000000"/>
              </w:rPr>
              <w:t>4、</w:t>
            </w:r>
            <w:r>
              <w:rPr>
                <w:rFonts w:ascii="仿宋_GB2312" w:hAnsi="仿宋_GB2312" w:cs="仿宋_GB2312" w:eastAsia="仿宋_GB2312"/>
                <w:sz w:val="21"/>
                <w:color w:val="000000"/>
              </w:rPr>
              <w:t>各类报表：各类统计汇总表等。</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配备服务相关的专业人员，有健全的组织机构，拟投入实施人员落实到位。人员分配合理，责任划分明确。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配备服务相关的设施设备，具有国土变更调查设备，包括电脑、举证设备、打印机、车辆等和涉密办公场所。</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满足本次采购内容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自签订合同之日起180日历天内完成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交所有成果上报市级、省级核查确认，通过后，所有成果内容上报国家级核查确认通过，所交付成果应严格按照国家最新发布的规范标准执行。必须符合合同、招标文件、投标文件、以及采购人的相关要求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第一期在成果提交至市级核查后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第二期在成果经省级核查确认并通过国家核查后，提交所有成果资料后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2.合同签订后，如乙方擅自中途停止或解除合同，乙方应向甲方赔偿1.5倍的首次付款。 3.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4.乙方不得将本项目的任何部分转包或分包给其他任何单位和个人。若擅自转包或分包本合同标的，甲方有权解除合同，并可要求乙方偿付服务费30%的违约金，同时追究其法律责任。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供应商应授权合法的人员参加投标，其中法定代表人直接参加的，须附法定代表人身份证，并与营业执照上信息一致；被授权代表参加的，须附法定代表人授权书及被授权人身份证；</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供应商拟派项目负责人须具备测绘专业或测绘相关专业中级或以上职称；</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供应商须提供行政主管部门颁发的测绘乙级以上（含乙级）资质证书；</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社会保障资金证明</w:t>
            </w:r>
          </w:p>
        </w:tc>
        <w:tc>
          <w:tcPr>
            <w:tcW w:type="dxa" w:w="3322"/>
          </w:tcPr>
          <w:p>
            <w:pPr>
              <w:pStyle w:val="null3"/>
            </w:pPr>
            <w:r>
              <w:rPr>
                <w:rFonts w:ascii="仿宋_GB2312" w:hAnsi="仿宋_GB2312" w:cs="仿宋_GB2312" w:eastAsia="仿宋_GB2312"/>
              </w:rPr>
              <w:t>提供 2025 年1月 1 日以来已缴存的至少一个月的社会保障资金缴存单据或社保机构开具的社会保险参保缴费情况证明。依法不需要缴纳社会保障资金的供应商应提供相关文件证明；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依法缴纳税收证明</w:t>
            </w:r>
          </w:p>
        </w:tc>
        <w:tc>
          <w:tcPr>
            <w:tcW w:type="dxa" w:w="3322"/>
          </w:tcPr>
          <w:p>
            <w:pPr>
              <w:pStyle w:val="null3"/>
            </w:pPr>
            <w:r>
              <w:rPr>
                <w:rFonts w:ascii="仿宋_GB2312" w:hAnsi="仿宋_GB2312" w:cs="仿宋_GB2312" w:eastAsia="仿宋_GB2312"/>
              </w:rPr>
              <w:t>提供 2025年 1 月 1 日以来已缴纳的至少一个月的纳税证明或完税证明，纳税证明或完税证明上应有代收机构或税务机关的公章。依法免税的供应商应提供相关文件证明；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健全的财务会计制度</w:t>
            </w:r>
          </w:p>
        </w:tc>
        <w:tc>
          <w:tcPr>
            <w:tcW w:type="dxa" w:w="3322"/>
          </w:tcPr>
          <w:p>
            <w:pPr>
              <w:pStyle w:val="null3"/>
            </w:pPr>
            <w:r>
              <w:rPr>
                <w:rFonts w:ascii="仿宋_GB2312" w:hAnsi="仿宋_GB2312" w:cs="仿宋_GB2312" w:eastAsia="仿宋_GB2312"/>
              </w:rPr>
              <w:t>须提供2023年至今任意一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供应商未被列入“信用中国”网站(www.creditchina.gov.cn)“记录列入失信被执行人和重大税收违法失信主体截图；不处于中国政府采购网(www.ccgp. gov.cn)“政府采购严重违法失信行为信息记录 ”中的禁止参加政府采购活动期间截图；</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参加本次政府采购活动前三年内在经营活动中没有重大违纪的书面声明；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提供具有履行本合同所必需的设备和专业技术能力的说明（提供书面承诺）；</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供应商单位负责人为同一人或者存在直接控股、管理关系的，不得参加同一合同项下的政府采购活动（提供书面承诺）；</w:t>
            </w:r>
          </w:p>
        </w:tc>
        <w:tc>
          <w:tcPr>
            <w:tcW w:type="dxa" w:w="1661"/>
          </w:tcPr>
          <w:p>
            <w:pPr>
              <w:pStyle w:val="null3"/>
            </w:pPr>
            <w:r>
              <w:rPr>
                <w:rFonts w:ascii="仿宋_GB2312" w:hAnsi="仿宋_GB2312" w:cs="仿宋_GB2312" w:eastAsia="仿宋_GB2312"/>
              </w:rPr>
              <w:t>资格证明资料.docx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类似项目一览表.docx 服务内容及服务邀请应答表 中小企业声明函 商务应答表 资格证明资料.docx 政府采购供应商拒绝政府采购领域商业贿赂承诺书.docx 分项报价表.docx 投标函 残疾人福利性单位声明函 服务方案 标的清单 其他资料.docx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投标文件上法定代表人或其委托代理人的签字按规定要求齐全，并加盖单位公章</w:t>
            </w:r>
          </w:p>
        </w:tc>
        <w:tc>
          <w:tcPr>
            <w:tcW w:type="dxa" w:w="1661"/>
          </w:tcPr>
          <w:p>
            <w:pPr>
              <w:pStyle w:val="null3"/>
            </w:pPr>
            <w:r>
              <w:rPr>
                <w:rFonts w:ascii="仿宋_GB2312" w:hAnsi="仿宋_GB2312" w:cs="仿宋_GB2312" w:eastAsia="仿宋_GB2312"/>
              </w:rPr>
              <w:t>开标一览表 类似项目一览表.docx 服务内容及服务邀请应答表 中小企业声明函 商务应答表 资格证明资料.docx 政府采购供应商拒绝政府采购领域商业贿赂承诺书.docx 分项报价表.docx 投标函 残疾人福利性单位声明函 服务方案 标的清单 其他资料.docx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只能有一个有效报价，不得提交选择性报价，且报价不超过采购预算金额和最高限价。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投标文件内容齐全、完整、无遗漏</w:t>
            </w:r>
          </w:p>
        </w:tc>
        <w:tc>
          <w:tcPr>
            <w:tcW w:type="dxa" w:w="1661"/>
          </w:tcPr>
          <w:p>
            <w:pPr>
              <w:pStyle w:val="null3"/>
            </w:pPr>
            <w:r>
              <w:rPr>
                <w:rFonts w:ascii="仿宋_GB2312" w:hAnsi="仿宋_GB2312" w:cs="仿宋_GB2312" w:eastAsia="仿宋_GB2312"/>
              </w:rPr>
              <w:t>开标一览表 类似项目一览表.docx 服务内容及服务邀请应答表 中小企业声明函 商务应答表 资格证明资料.docx 政府采购供应商拒绝政府采购领域商业贿赂承诺书.docx 分项报价表.docx 投标函 残疾人福利性单位声明函 服务方案 标的清单 其他资料.docx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满足招标文件提出的技术和商务要求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满足招标文件的规定</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服务内容及服务邀请应答表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技术方案全面科学可行、思路清晰、方法合理、 可操作性强，完全响应采购需求的得 20-13 分；技术方案全面、思路较为清晰、方法基本合理、 可操作性较强，基本响应采购需求的得 13-6 分；技术方案基全面、思路基本清晰、方法基本合理、可操作性基本满足要求，较能响应采购需求的得 6-1 分；没有不得分。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项目进度计划及保障措施</w:t>
            </w:r>
          </w:p>
        </w:tc>
        <w:tc>
          <w:tcPr>
            <w:tcW w:type="dxa" w:w="2492"/>
          </w:tcPr>
          <w:p>
            <w:pPr>
              <w:pStyle w:val="null3"/>
            </w:pPr>
            <w:r>
              <w:rPr>
                <w:rFonts w:ascii="仿宋_GB2312" w:hAnsi="仿宋_GB2312" w:cs="仿宋_GB2312" w:eastAsia="仿宋_GB2312"/>
              </w:rPr>
              <w:t>根据投标人编制的项目进度计划及进度保障措施方案内容详细具体、科学合理、切实可行的得9-6分；项目进度计划及进度保障措施内容完整、可行性较强的得6-3分；项目进度计划及进度保障措施内容简单、基本可行性的得3-1分；没有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项目组织方案</w:t>
            </w:r>
          </w:p>
        </w:tc>
        <w:tc>
          <w:tcPr>
            <w:tcW w:type="dxa" w:w="2492"/>
          </w:tcPr>
          <w:p>
            <w:pPr>
              <w:pStyle w:val="null3"/>
            </w:pPr>
            <w:r>
              <w:rPr>
                <w:rFonts w:ascii="仿宋_GB2312" w:hAnsi="仿宋_GB2312" w:cs="仿宋_GB2312" w:eastAsia="仿宋_GB2312"/>
              </w:rPr>
              <w:t>项目实施组织机构具体明确，人员安排合理、技术能力强、职责分工明确完全符合项目实际要求的得 10-7 分；项目实施组织机构明确，人员安排较合理、技术能力较强、职责分工较明确符合项目实际要求的得 7-3 分；项目实施组织机构基本明确，人员安排基本合理、技术能力一般、职责分工基本明确符合项目实际要求的得 3-1 分；没有不得分。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投标人针对本项目有严格的保密措施等内容详细完整、措施合理、可实施性明确完全符合项目实际要求的得 10-7 分；保密措施等内容较完善、措施较合理、可实施性较明确符合项目实际要求的得 7-3 分；保密措施等内容基本完善、基本科学合理、可实施性基本明确符合项目实际要求的得 3-1 分；没有不得分。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根据投标人编制的质量保障措施方案内容详细完整、质量目标明确、保障措施完善完全符合项目实际要求的得 10-7 分；质量保障措施方案内容较完善、质量目标较明确、保障措施较完善符合项目实际要求的得 7-3 分；质量保障措施方案内容基本完善、基本科学合理、保障措施基本符合项目实际要求的得3-1 分；没有不得分。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拟派项目负责人具有测绘或测绘相关专业高级工程师证的得 3 分 ;具有测绘或测绘相关专业中级工程师证的得2 分；其他情况不得分。 (以提供的职称证书为依据，未提供不得分)。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资格证明资料.docx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其他组成人员</w:t>
            </w:r>
          </w:p>
        </w:tc>
        <w:tc>
          <w:tcPr>
            <w:tcW w:type="dxa" w:w="2492"/>
          </w:tcPr>
          <w:p>
            <w:pPr>
              <w:pStyle w:val="null3"/>
            </w:pPr>
            <w:r>
              <w:rPr>
                <w:rFonts w:ascii="仿宋_GB2312" w:hAnsi="仿宋_GB2312" w:cs="仿宋_GB2312" w:eastAsia="仿宋_GB2312"/>
              </w:rPr>
              <w:t>1、拟派项目组成员中（除项目负责人外）具有测绘或测绘相关专业中级工程师及以上职称的技术人员得1分，此项最高得5分。 2.拟派项目组成员配备的工作人员。 （1）项目组人员数量和专业完全满足本项目的要求具有相关的工作经历，专业配备合理完善，得5分； （2）项目组人员数量基本满足工作要求，专业配备较合理，得3分； （3）工作人员数量不能满足工作要求，专业配备不够完善，得1分。 (以提供的职称证为依据，未提供不得分)。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投标人针对本项目应有详细售后服务方案、完整的售后服务体系，为采购方提供相关技术咨询，售后服务方案内容完善、合理可行的得 8-5 分；售后服务方案内容基本完整、基本合理可行的得 5-3 分；方案内容不完整、不合理得 3-1，未提供的不得分。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提供近3年来(2022年 11月至今)承担过类似项目业绩，每项得 2分，没有不得分，最高得 10 分(须提供中标通知书或合同复印件加盖公章)。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价格分统一采用低价优先法计算，即满足招标文件要求且价格最低的投标报价为评审基准价，其价格分为满分。其他供应商的价格分统一按照下列公式计算： 投标报价得分=(投标基准价／投标报价)×10%(价格权值)×100（注：计算分数时四舍五入取小数点后两位）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详见附件：类似项目一览表.docx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