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A576B">
      <w:pPr>
        <w:jc w:val="center"/>
        <w:rPr>
          <w:rFonts w:hint="eastAsia" w:ascii="仿宋" w:hAnsi="仿宋" w:eastAsia="仿宋" w:cs="仿宋"/>
          <w:color w:val="auto"/>
          <w:sz w:val="31"/>
          <w:szCs w:val="31"/>
          <w:highlight w:val="none"/>
        </w:rPr>
      </w:pPr>
      <w:bookmarkStart w:id="19" w:name="_GoBack"/>
      <w:bookmarkEnd w:id="19"/>
      <w:r>
        <w:rPr>
          <w:rFonts w:hint="eastAsia" w:ascii="仿宋" w:hAnsi="仿宋" w:eastAsia="仿宋" w:cs="仿宋"/>
          <w:b/>
          <w:bCs/>
          <w:color w:val="auto"/>
          <w:spacing w:val="6"/>
          <w:sz w:val="31"/>
          <w:szCs w:val="31"/>
          <w:highlight w:val="none"/>
        </w:rPr>
        <w:t>合同条款及格式</w:t>
      </w:r>
    </w:p>
    <w:p w14:paraId="6336D29A">
      <w:pPr>
        <w:spacing w:before="252" w:line="219" w:lineRule="auto"/>
        <w:ind w:left="1696"/>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（此合同仅供参考，具体事情甲乙双方协商确定）</w:t>
      </w:r>
    </w:p>
    <w:p w14:paraId="30D40430">
      <w:pPr>
        <w:pStyle w:val="3"/>
        <w:spacing w:line="274" w:lineRule="auto"/>
        <w:rPr>
          <w:rFonts w:hint="eastAsia" w:ascii="仿宋" w:hAnsi="仿宋" w:eastAsia="仿宋" w:cs="仿宋"/>
          <w:color w:val="auto"/>
          <w:highlight w:val="none"/>
        </w:rPr>
      </w:pPr>
    </w:p>
    <w:p w14:paraId="22419133">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2"/>
          <w:szCs w:val="22"/>
          <w:highlight w:val="none"/>
        </w:rPr>
      </w:pPr>
      <w:r>
        <w:rPr>
          <w:rFonts w:hint="eastAsia" w:ascii="仿宋" w:hAnsi="仿宋" w:eastAsia="仿宋" w:cs="仿宋"/>
          <w:color w:val="auto"/>
          <w:spacing w:val="-13"/>
          <w:sz w:val="22"/>
          <w:szCs w:val="22"/>
          <w:highlight w:val="none"/>
        </w:rPr>
        <w:t>甲方：</w:t>
      </w:r>
      <w:r>
        <w:rPr>
          <w:rFonts w:hint="eastAsia" w:ascii="仿宋" w:hAnsi="仿宋" w:eastAsia="仿宋" w:cs="仿宋"/>
          <w:color w:val="auto"/>
          <w:sz w:val="22"/>
          <w:szCs w:val="22"/>
          <w:highlight w:val="none"/>
          <w:u w:val="single" w:color="auto"/>
        </w:rPr>
        <w:t xml:space="preserve">                   </w:t>
      </w:r>
    </w:p>
    <w:p w14:paraId="64F47BD8">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地址：</w:t>
      </w:r>
      <w:r>
        <w:rPr>
          <w:rFonts w:hint="eastAsia" w:ascii="仿宋" w:hAnsi="仿宋" w:eastAsia="仿宋" w:cs="仿宋"/>
          <w:color w:val="auto"/>
          <w:sz w:val="22"/>
          <w:szCs w:val="22"/>
          <w:highlight w:val="none"/>
          <w:u w:val="single" w:color="auto"/>
        </w:rPr>
        <w:t xml:space="preserve">                  </w:t>
      </w:r>
    </w:p>
    <w:p w14:paraId="239909F9">
      <w:pPr>
        <w:pStyle w:val="3"/>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2"/>
          <w:szCs w:val="22"/>
          <w:highlight w:val="none"/>
        </w:rPr>
      </w:pPr>
    </w:p>
    <w:p w14:paraId="3A30081A">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2"/>
          <w:szCs w:val="22"/>
          <w:highlight w:val="none"/>
        </w:rPr>
      </w:pPr>
      <w:r>
        <w:rPr>
          <w:rFonts w:hint="eastAsia" w:ascii="仿宋" w:hAnsi="仿宋" w:eastAsia="仿宋" w:cs="仿宋"/>
          <w:color w:val="auto"/>
          <w:spacing w:val="-7"/>
          <w:sz w:val="22"/>
          <w:szCs w:val="22"/>
          <w:highlight w:val="none"/>
        </w:rPr>
        <w:t>乙方：</w:t>
      </w:r>
      <w:r>
        <w:rPr>
          <w:rFonts w:hint="eastAsia" w:ascii="仿宋" w:hAnsi="仿宋" w:eastAsia="仿宋" w:cs="仿宋"/>
          <w:color w:val="auto"/>
          <w:spacing w:val="-7"/>
          <w:sz w:val="22"/>
          <w:szCs w:val="22"/>
          <w:highlight w:val="none"/>
          <w:u w:val="single" w:color="auto"/>
        </w:rPr>
        <w:t xml:space="preserve">                     </w:t>
      </w:r>
    </w:p>
    <w:p w14:paraId="7ABC8875">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地址：</w:t>
      </w:r>
      <w:r>
        <w:rPr>
          <w:rFonts w:hint="eastAsia" w:ascii="仿宋" w:hAnsi="仿宋" w:eastAsia="仿宋" w:cs="仿宋"/>
          <w:color w:val="auto"/>
          <w:sz w:val="22"/>
          <w:szCs w:val="22"/>
          <w:highlight w:val="none"/>
          <w:u w:val="single" w:color="auto"/>
        </w:rPr>
        <w:t xml:space="preserve">                  </w:t>
      </w:r>
    </w:p>
    <w:p w14:paraId="12FECB3E">
      <w:pPr>
        <w:pStyle w:val="3"/>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2"/>
          <w:szCs w:val="22"/>
          <w:highlight w:val="none"/>
        </w:rPr>
      </w:pPr>
    </w:p>
    <w:p w14:paraId="70BD9346">
      <w:pPr>
        <w:pageBreakBefore w:val="0"/>
        <w:kinsoku/>
        <w:overflowPunct/>
        <w:topLinePunct w:val="0"/>
        <w:bidi w:val="0"/>
        <w:spacing w:beforeAutospacing="0" w:afterAutospacing="0" w:line="440" w:lineRule="exact"/>
        <w:ind w:left="0" w:leftChars="0" w:right="0" w:firstLine="480"/>
        <w:jc w:val="both"/>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依据《中华人民共和国民法典》、《中华人民共和国</w:t>
      </w:r>
      <w:r>
        <w:rPr>
          <w:rFonts w:hint="eastAsia" w:ascii="仿宋" w:hAnsi="仿宋" w:eastAsia="仿宋" w:cs="仿宋"/>
          <w:color w:val="auto"/>
          <w:spacing w:val="-3"/>
          <w:sz w:val="22"/>
          <w:szCs w:val="22"/>
          <w:highlight w:val="none"/>
        </w:rPr>
        <w:t>政府采购法》、《中华人民共</w:t>
      </w:r>
      <w:r>
        <w:rPr>
          <w:rFonts w:hint="eastAsia" w:ascii="仿宋" w:hAnsi="仿宋" w:eastAsia="仿宋" w:cs="仿宋"/>
          <w:color w:val="auto"/>
          <w:spacing w:val="-2"/>
          <w:sz w:val="22"/>
          <w:szCs w:val="22"/>
          <w:highlight w:val="none"/>
        </w:rPr>
        <w:t>和国政府采购法实施条例》等法律法规之规定，经甲乙双方协商，本</w:t>
      </w:r>
      <w:r>
        <w:rPr>
          <w:rFonts w:hint="eastAsia" w:ascii="仿宋" w:hAnsi="仿宋" w:eastAsia="仿宋" w:cs="仿宋"/>
          <w:color w:val="auto"/>
          <w:spacing w:val="-3"/>
          <w:sz w:val="22"/>
          <w:szCs w:val="22"/>
          <w:highlight w:val="none"/>
        </w:rPr>
        <w:t>着合作互利、平等自愿的原则，订立本合同，以资共同遵守：</w:t>
      </w:r>
    </w:p>
    <w:p w14:paraId="1C09396F">
      <w:pPr>
        <w:pageBreakBefore w:val="0"/>
        <w:numPr>
          <w:ilvl w:val="0"/>
          <w:numId w:val="1"/>
        </w:numPr>
        <w:kinsoku/>
        <w:overflowPunct/>
        <w:topLinePunct w:val="0"/>
        <w:bidi w:val="0"/>
        <w:spacing w:beforeAutospacing="0" w:afterAutospacing="0" w:line="440" w:lineRule="exact"/>
        <w:ind w:left="0" w:leftChars="0" w:right="0"/>
        <w:outlineLvl w:val="1"/>
        <w:rPr>
          <w:rFonts w:hint="eastAsia" w:ascii="仿宋" w:hAnsi="仿宋" w:eastAsia="仿宋" w:cs="仿宋"/>
          <w:color w:val="auto"/>
          <w:spacing w:val="-1"/>
          <w:sz w:val="22"/>
          <w:szCs w:val="22"/>
          <w:highlight w:val="none"/>
        </w:rPr>
      </w:pPr>
      <w:bookmarkStart w:id="0" w:name="_Toc26634"/>
      <w:r>
        <w:rPr>
          <w:rFonts w:hint="eastAsia" w:ascii="仿宋" w:hAnsi="仿宋" w:eastAsia="仿宋" w:cs="仿宋"/>
          <w:color w:val="auto"/>
          <w:spacing w:val="-1"/>
          <w:sz w:val="22"/>
          <w:szCs w:val="22"/>
          <w:highlight w:val="none"/>
        </w:rPr>
        <w:t>项目服务范围及内容：</w:t>
      </w:r>
      <w:bookmarkEnd w:id="0"/>
    </w:p>
    <w:p w14:paraId="69C55E8B">
      <w:pPr>
        <w:pageBreakBefore w:val="0"/>
        <w:numPr>
          <w:ilvl w:val="0"/>
          <w:numId w:val="0"/>
        </w:numPr>
        <w:kinsoku/>
        <w:overflowPunct/>
        <w:topLinePunct w:val="0"/>
        <w:bidi w:val="0"/>
        <w:spacing w:beforeAutospacing="0" w:afterAutospacing="0" w:line="440" w:lineRule="exact"/>
        <w:ind w:left="0" w:leftChars="0" w:right="0"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范围包括富平县已建立试点项目的（130）家单位包括（43）个机关单位、（25）个学校、（23）个小区、（25</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）条示范街、（3）个公园景区、（9）个医院、（1）个广场，（1）个示范社区及县城内其他有生活垃圾分类需求的业态。</w:t>
      </w:r>
    </w:p>
    <w:p w14:paraId="52C94AF3">
      <w:pPr>
        <w:pageBreakBefore w:val="0"/>
        <w:numPr>
          <w:ilvl w:val="0"/>
          <w:numId w:val="0"/>
        </w:numPr>
        <w:kinsoku/>
        <w:overflowPunct/>
        <w:topLinePunct w:val="0"/>
        <w:bidi w:val="0"/>
        <w:spacing w:beforeAutospacing="0" w:afterAutospacing="0" w:line="440" w:lineRule="exact"/>
        <w:ind w:left="0" w:leftChars="0" w:right="0"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内容包括130家试点项目生活垃圾分类后期服务运营管理；对富平县城区内各业态单位生活垃圾分类工作给予方案设计、专业指导、培训宣传、活动策划、媒体推广、督导检查、参观学习；智能化“尚官坊、秦正公馆”小区垃圾分类设施设备的运营维护；对富平县省级生活垃圾分类示范县每季度评估给予技术服务、提交评估资料；对富平县生活垃圾分类</w:t>
      </w:r>
      <w:r>
        <w:rPr>
          <w:rFonts w:hint="eastAsia" w:ascii="仿宋" w:hAnsi="仿宋" w:eastAsia="仿宋" w:cs="仿宋"/>
          <w:color w:val="auto"/>
          <w:sz w:val="22"/>
          <w:szCs w:val="22"/>
          <w:highlight w:val="none"/>
          <w:lang w:eastAsia="zh-CN"/>
        </w:rPr>
        <w:t>现有及服务期内新增的</w:t>
      </w:r>
      <w:r>
        <w:rPr>
          <w:rFonts w:hint="eastAsia" w:ascii="仿宋" w:hAnsi="仿宋" w:eastAsia="仿宋" w:cs="仿宋"/>
          <w:color w:val="auto"/>
          <w:sz w:val="22"/>
          <w:szCs w:val="22"/>
          <w:highlight w:val="none"/>
        </w:rPr>
        <w:t>示范镇（村）工作开展给予专业指导、培训</w:t>
      </w:r>
      <w:r>
        <w:rPr>
          <w:rFonts w:hint="eastAsia" w:ascii="仿宋" w:hAnsi="仿宋" w:eastAsia="仿宋" w:cs="仿宋"/>
          <w:color w:val="auto"/>
          <w:sz w:val="22"/>
          <w:szCs w:val="22"/>
          <w:highlight w:val="none"/>
          <w:lang w:val="en-US" w:eastAsia="zh-CN"/>
        </w:rPr>
        <w:t>≥2次/村/年</w:t>
      </w:r>
      <w:r>
        <w:rPr>
          <w:rFonts w:hint="eastAsia" w:ascii="仿宋" w:hAnsi="仿宋" w:eastAsia="仿宋" w:cs="仿宋"/>
          <w:color w:val="auto"/>
          <w:sz w:val="22"/>
          <w:szCs w:val="22"/>
          <w:highlight w:val="none"/>
        </w:rPr>
        <w:t>。</w:t>
      </w:r>
    </w:p>
    <w:p w14:paraId="4EA92573">
      <w:pPr>
        <w:pageBreakBefore w:val="0"/>
        <w:kinsoku/>
        <w:overflowPunct/>
        <w:topLinePunct w:val="0"/>
        <w:bidi w:val="0"/>
        <w:spacing w:beforeAutospacing="0" w:afterAutospacing="0" w:line="440" w:lineRule="exact"/>
        <w:ind w:left="0" w:leftChars="0" w:right="0"/>
        <w:outlineLvl w:val="1"/>
        <w:rPr>
          <w:rFonts w:hint="eastAsia" w:ascii="仿宋" w:hAnsi="仿宋" w:eastAsia="仿宋" w:cs="仿宋"/>
          <w:color w:val="auto"/>
          <w:sz w:val="22"/>
          <w:szCs w:val="22"/>
          <w:highlight w:val="none"/>
        </w:rPr>
      </w:pPr>
      <w:bookmarkStart w:id="1" w:name="_Toc10063"/>
      <w:r>
        <w:rPr>
          <w:rFonts w:hint="eastAsia" w:ascii="仿宋" w:hAnsi="仿宋" w:eastAsia="仿宋" w:cs="仿宋"/>
          <w:color w:val="auto"/>
          <w:spacing w:val="-2"/>
          <w:sz w:val="22"/>
          <w:szCs w:val="22"/>
          <w:highlight w:val="none"/>
        </w:rPr>
        <w:t>二、</w:t>
      </w:r>
      <w:r>
        <w:rPr>
          <w:rFonts w:hint="eastAsia" w:ascii="仿宋" w:hAnsi="仿宋" w:eastAsia="仿宋" w:cs="仿宋"/>
          <w:color w:val="auto"/>
          <w:spacing w:val="-2"/>
          <w:sz w:val="22"/>
          <w:szCs w:val="22"/>
          <w:highlight w:val="none"/>
          <w:lang w:eastAsia="zh-CN"/>
        </w:rPr>
        <w:t>服务期</w:t>
      </w:r>
      <w:r>
        <w:rPr>
          <w:rFonts w:hint="eastAsia" w:ascii="仿宋" w:hAnsi="仿宋" w:eastAsia="仿宋" w:cs="仿宋"/>
          <w:color w:val="auto"/>
          <w:spacing w:val="-2"/>
          <w:sz w:val="22"/>
          <w:szCs w:val="22"/>
          <w:highlight w:val="none"/>
        </w:rPr>
        <w:t>：</w:t>
      </w:r>
      <w:bookmarkEnd w:id="1"/>
    </w:p>
    <w:p w14:paraId="3610AD42">
      <w:pPr>
        <w:pageBreakBefore w:val="0"/>
        <w:kinsoku/>
        <w:overflowPunct/>
        <w:topLinePunct w:val="0"/>
        <w:bidi w:val="0"/>
        <w:spacing w:beforeAutospacing="0" w:afterAutospacing="0" w:line="440" w:lineRule="exact"/>
        <w:ind w:left="0" w:leftChars="0" w:right="0" w:firstLine="392" w:firstLineChars="200"/>
        <w:rPr>
          <w:rFonts w:hint="eastAsia" w:ascii="仿宋" w:hAnsi="仿宋" w:eastAsia="仿宋" w:cs="仿宋"/>
          <w:color w:val="auto"/>
          <w:sz w:val="22"/>
          <w:szCs w:val="22"/>
          <w:highlight w:val="none"/>
        </w:rPr>
      </w:pPr>
      <w:r>
        <w:rPr>
          <w:rFonts w:hint="eastAsia" w:ascii="仿宋" w:hAnsi="仿宋" w:eastAsia="仿宋" w:cs="仿宋"/>
          <w:color w:val="auto"/>
          <w:spacing w:val="-12"/>
          <w:sz w:val="22"/>
          <w:szCs w:val="22"/>
          <w:highlight w:val="none"/>
          <w:u w:val="none" w:color="auto"/>
        </w:rPr>
        <w:t xml:space="preserve"> </w:t>
      </w:r>
      <w:r>
        <w:rPr>
          <w:rFonts w:hint="eastAsia" w:ascii="仿宋" w:hAnsi="仿宋" w:eastAsia="仿宋" w:cs="仿宋"/>
          <w:color w:val="auto"/>
          <w:spacing w:val="-12"/>
          <w:sz w:val="22"/>
          <w:szCs w:val="22"/>
          <w:highlight w:val="none"/>
          <w:u w:val="none" w:color="auto"/>
          <w:lang w:val="en-US" w:eastAsia="zh-CN"/>
        </w:rPr>
        <w:t>一</w:t>
      </w:r>
      <w:r>
        <w:rPr>
          <w:rFonts w:hint="eastAsia" w:ascii="仿宋" w:hAnsi="仿宋" w:eastAsia="仿宋" w:cs="仿宋"/>
          <w:color w:val="auto"/>
          <w:spacing w:val="-12"/>
          <w:sz w:val="22"/>
          <w:szCs w:val="22"/>
          <w:highlight w:val="none"/>
          <w:u w:val="none" w:color="auto"/>
        </w:rPr>
        <w:t xml:space="preserve"> 年</w:t>
      </w:r>
      <w:r>
        <w:rPr>
          <w:rFonts w:hint="eastAsia" w:ascii="仿宋" w:hAnsi="仿宋" w:eastAsia="仿宋" w:cs="仿宋"/>
          <w:color w:val="auto"/>
          <w:spacing w:val="-12"/>
          <w:sz w:val="22"/>
          <w:szCs w:val="22"/>
          <w:highlight w:val="none"/>
        </w:rPr>
        <w:t>，</w:t>
      </w:r>
      <w:r>
        <w:rPr>
          <w:rFonts w:hint="eastAsia" w:ascii="仿宋" w:hAnsi="仿宋" w:eastAsia="仿宋" w:cs="仿宋"/>
          <w:color w:val="auto"/>
          <w:spacing w:val="-55"/>
          <w:sz w:val="22"/>
          <w:szCs w:val="22"/>
          <w:highlight w:val="none"/>
        </w:rPr>
        <w:t xml:space="preserve"> </w:t>
      </w:r>
      <w:r>
        <w:rPr>
          <w:rFonts w:hint="eastAsia" w:ascii="仿宋" w:hAnsi="仿宋" w:eastAsia="仿宋" w:cs="仿宋"/>
          <w:color w:val="auto"/>
          <w:spacing w:val="-12"/>
          <w:sz w:val="22"/>
          <w:szCs w:val="22"/>
          <w:highlight w:val="none"/>
        </w:rPr>
        <w:t>自</w:t>
      </w:r>
      <w:r>
        <w:rPr>
          <w:rFonts w:hint="eastAsia" w:ascii="仿宋" w:hAnsi="仿宋" w:eastAsia="仿宋" w:cs="仿宋"/>
          <w:color w:val="auto"/>
          <w:spacing w:val="60"/>
          <w:sz w:val="22"/>
          <w:szCs w:val="22"/>
          <w:highlight w:val="none"/>
          <w:u w:val="single" w:color="auto"/>
        </w:rPr>
        <w:t xml:space="preserve">  </w:t>
      </w:r>
      <w:r>
        <w:rPr>
          <w:rFonts w:hint="eastAsia" w:ascii="仿宋" w:hAnsi="仿宋" w:eastAsia="仿宋" w:cs="仿宋"/>
          <w:color w:val="auto"/>
          <w:spacing w:val="-109"/>
          <w:sz w:val="22"/>
          <w:szCs w:val="22"/>
          <w:highlight w:val="none"/>
        </w:rPr>
        <w:t xml:space="preserve"> </w:t>
      </w:r>
      <w:r>
        <w:rPr>
          <w:rFonts w:hint="eastAsia" w:ascii="仿宋" w:hAnsi="仿宋" w:eastAsia="仿宋" w:cs="仿宋"/>
          <w:color w:val="auto"/>
          <w:spacing w:val="-12"/>
          <w:sz w:val="22"/>
          <w:szCs w:val="22"/>
          <w:highlight w:val="none"/>
        </w:rPr>
        <w:t>年</w:t>
      </w:r>
      <w:r>
        <w:rPr>
          <w:rFonts w:hint="eastAsia" w:ascii="仿宋" w:hAnsi="仿宋" w:eastAsia="仿宋" w:cs="仿宋"/>
          <w:color w:val="auto"/>
          <w:spacing w:val="59"/>
          <w:sz w:val="22"/>
          <w:szCs w:val="22"/>
          <w:highlight w:val="none"/>
          <w:u w:val="single" w:color="auto"/>
        </w:rPr>
        <w:t xml:space="preserve">  </w:t>
      </w:r>
      <w:r>
        <w:rPr>
          <w:rFonts w:hint="eastAsia" w:ascii="仿宋" w:hAnsi="仿宋" w:eastAsia="仿宋" w:cs="仿宋"/>
          <w:color w:val="auto"/>
          <w:spacing w:val="-103"/>
          <w:sz w:val="22"/>
          <w:szCs w:val="22"/>
          <w:highlight w:val="none"/>
        </w:rPr>
        <w:t xml:space="preserve"> </w:t>
      </w:r>
      <w:r>
        <w:rPr>
          <w:rFonts w:hint="eastAsia" w:ascii="仿宋" w:hAnsi="仿宋" w:eastAsia="仿宋" w:cs="仿宋"/>
          <w:color w:val="auto"/>
          <w:spacing w:val="-12"/>
          <w:sz w:val="22"/>
          <w:szCs w:val="22"/>
          <w:highlight w:val="none"/>
        </w:rPr>
        <w:t>月</w:t>
      </w:r>
      <w:r>
        <w:rPr>
          <w:rFonts w:hint="eastAsia" w:ascii="仿宋" w:hAnsi="仿宋" w:eastAsia="仿宋" w:cs="仿宋"/>
          <w:color w:val="auto"/>
          <w:spacing w:val="59"/>
          <w:sz w:val="22"/>
          <w:szCs w:val="22"/>
          <w:highlight w:val="none"/>
          <w:u w:val="single" w:color="auto"/>
        </w:rPr>
        <w:t xml:space="preserve">  </w:t>
      </w:r>
      <w:r>
        <w:rPr>
          <w:rFonts w:hint="eastAsia" w:ascii="仿宋" w:hAnsi="仿宋" w:eastAsia="仿宋" w:cs="仿宋"/>
          <w:color w:val="auto"/>
          <w:spacing w:val="-67"/>
          <w:sz w:val="22"/>
          <w:szCs w:val="22"/>
          <w:highlight w:val="none"/>
        </w:rPr>
        <w:t xml:space="preserve"> </w:t>
      </w:r>
      <w:r>
        <w:rPr>
          <w:rFonts w:hint="eastAsia" w:ascii="仿宋" w:hAnsi="仿宋" w:eastAsia="仿宋" w:cs="仿宋"/>
          <w:color w:val="auto"/>
          <w:spacing w:val="-12"/>
          <w:sz w:val="22"/>
          <w:szCs w:val="22"/>
          <w:highlight w:val="none"/>
        </w:rPr>
        <w:t>日至</w:t>
      </w:r>
      <w:r>
        <w:rPr>
          <w:rFonts w:hint="eastAsia" w:ascii="仿宋" w:hAnsi="仿宋" w:eastAsia="仿宋" w:cs="仿宋"/>
          <w:color w:val="auto"/>
          <w:spacing w:val="59"/>
          <w:sz w:val="22"/>
          <w:szCs w:val="22"/>
          <w:highlight w:val="none"/>
          <w:u w:val="single" w:color="auto"/>
        </w:rPr>
        <w:t xml:space="preserve">  </w:t>
      </w:r>
      <w:r>
        <w:rPr>
          <w:rFonts w:hint="eastAsia" w:ascii="仿宋" w:hAnsi="仿宋" w:eastAsia="仿宋" w:cs="仿宋"/>
          <w:color w:val="auto"/>
          <w:spacing w:val="-108"/>
          <w:sz w:val="22"/>
          <w:szCs w:val="22"/>
          <w:highlight w:val="none"/>
        </w:rPr>
        <w:t xml:space="preserve"> </w:t>
      </w:r>
      <w:r>
        <w:rPr>
          <w:rFonts w:hint="eastAsia" w:ascii="仿宋" w:hAnsi="仿宋" w:eastAsia="仿宋" w:cs="仿宋"/>
          <w:color w:val="auto"/>
          <w:spacing w:val="-12"/>
          <w:sz w:val="22"/>
          <w:szCs w:val="22"/>
          <w:highlight w:val="none"/>
        </w:rPr>
        <w:t>年</w:t>
      </w:r>
      <w:r>
        <w:rPr>
          <w:rFonts w:hint="eastAsia" w:ascii="仿宋" w:hAnsi="仿宋" w:eastAsia="仿宋" w:cs="仿宋"/>
          <w:color w:val="auto"/>
          <w:spacing w:val="59"/>
          <w:sz w:val="22"/>
          <w:szCs w:val="22"/>
          <w:highlight w:val="none"/>
          <w:u w:val="single" w:color="auto"/>
        </w:rPr>
        <w:t xml:space="preserve">  </w:t>
      </w:r>
      <w:r>
        <w:rPr>
          <w:rFonts w:hint="eastAsia" w:ascii="仿宋" w:hAnsi="仿宋" w:eastAsia="仿宋" w:cs="仿宋"/>
          <w:color w:val="auto"/>
          <w:spacing w:val="-103"/>
          <w:sz w:val="22"/>
          <w:szCs w:val="22"/>
          <w:highlight w:val="none"/>
        </w:rPr>
        <w:t xml:space="preserve"> </w:t>
      </w:r>
      <w:r>
        <w:rPr>
          <w:rFonts w:hint="eastAsia" w:ascii="仿宋" w:hAnsi="仿宋" w:eastAsia="仿宋" w:cs="仿宋"/>
          <w:color w:val="auto"/>
          <w:spacing w:val="-12"/>
          <w:sz w:val="22"/>
          <w:szCs w:val="22"/>
          <w:highlight w:val="none"/>
        </w:rPr>
        <w:t>月</w:t>
      </w:r>
      <w:r>
        <w:rPr>
          <w:rFonts w:hint="eastAsia" w:ascii="仿宋" w:hAnsi="仿宋" w:eastAsia="仿宋" w:cs="仿宋"/>
          <w:color w:val="auto"/>
          <w:spacing w:val="60"/>
          <w:sz w:val="22"/>
          <w:szCs w:val="22"/>
          <w:highlight w:val="none"/>
          <w:u w:val="single" w:color="auto"/>
        </w:rPr>
        <w:t xml:space="preserve">  </w:t>
      </w:r>
      <w:r>
        <w:rPr>
          <w:rFonts w:hint="eastAsia" w:ascii="仿宋" w:hAnsi="仿宋" w:eastAsia="仿宋" w:cs="仿宋"/>
          <w:color w:val="auto"/>
          <w:spacing w:val="-69"/>
          <w:sz w:val="22"/>
          <w:szCs w:val="22"/>
          <w:highlight w:val="none"/>
        </w:rPr>
        <w:t xml:space="preserve"> </w:t>
      </w:r>
      <w:r>
        <w:rPr>
          <w:rFonts w:hint="eastAsia" w:ascii="仿宋" w:hAnsi="仿宋" w:eastAsia="仿宋" w:cs="仿宋"/>
          <w:color w:val="auto"/>
          <w:spacing w:val="-12"/>
          <w:sz w:val="22"/>
          <w:szCs w:val="22"/>
          <w:highlight w:val="none"/>
        </w:rPr>
        <w:t>日。</w:t>
      </w:r>
    </w:p>
    <w:p w14:paraId="34BA95E3">
      <w:pPr>
        <w:pageBreakBefore w:val="0"/>
        <w:kinsoku/>
        <w:overflowPunct/>
        <w:topLinePunct w:val="0"/>
        <w:bidi w:val="0"/>
        <w:spacing w:beforeAutospacing="0" w:afterAutospacing="0" w:line="440" w:lineRule="exact"/>
        <w:ind w:left="0" w:leftChars="0" w:right="0"/>
        <w:outlineLvl w:val="1"/>
        <w:rPr>
          <w:rFonts w:hint="eastAsia" w:ascii="仿宋" w:hAnsi="仿宋" w:eastAsia="仿宋" w:cs="仿宋"/>
          <w:color w:val="auto"/>
          <w:spacing w:val="-1"/>
          <w:sz w:val="22"/>
          <w:szCs w:val="22"/>
          <w:highlight w:val="none"/>
        </w:rPr>
      </w:pPr>
      <w:bookmarkStart w:id="2" w:name="_Toc29686"/>
      <w:r>
        <w:rPr>
          <w:rFonts w:hint="eastAsia" w:ascii="仿宋" w:hAnsi="仿宋" w:eastAsia="仿宋" w:cs="仿宋"/>
          <w:color w:val="auto"/>
          <w:spacing w:val="-1"/>
          <w:sz w:val="22"/>
          <w:szCs w:val="22"/>
          <w:highlight w:val="none"/>
        </w:rPr>
        <w:t>三、服务内容：</w:t>
      </w:r>
      <w:bookmarkEnd w:id="2"/>
    </w:p>
    <w:p w14:paraId="3DAB127A">
      <w:pPr>
        <w:pageBreakBefore w:val="0"/>
        <w:kinsoku/>
        <w:overflowPunct/>
        <w:topLinePunct w:val="0"/>
        <w:bidi w:val="0"/>
        <w:spacing w:beforeAutospacing="0" w:afterAutospacing="0" w:line="440" w:lineRule="exact"/>
        <w:ind w:left="0" w:leftChars="0" w:right="0" w:firstLine="432" w:firstLineChars="200"/>
        <w:outlineLvl w:val="2"/>
        <w:rPr>
          <w:rFonts w:hint="eastAsia" w:ascii="仿宋" w:hAnsi="仿宋" w:eastAsia="仿宋" w:cs="仿宋"/>
          <w:color w:val="auto"/>
          <w:spacing w:val="-2"/>
          <w:sz w:val="22"/>
          <w:szCs w:val="22"/>
          <w:highlight w:val="none"/>
        </w:rPr>
      </w:pPr>
      <w:bookmarkStart w:id="3" w:name="_Toc13392"/>
      <w:r>
        <w:rPr>
          <w:rFonts w:hint="eastAsia" w:ascii="仿宋" w:hAnsi="仿宋" w:eastAsia="仿宋" w:cs="仿宋"/>
          <w:color w:val="auto"/>
          <w:spacing w:val="-2"/>
          <w:sz w:val="22"/>
          <w:szCs w:val="22"/>
          <w:highlight w:val="none"/>
        </w:rPr>
        <w:t>（一）人员配备</w:t>
      </w:r>
      <w:bookmarkEnd w:id="3"/>
    </w:p>
    <w:p w14:paraId="257C3C90">
      <w:pPr>
        <w:pageBreakBefore w:val="0"/>
        <w:kinsoku/>
        <w:overflowPunct/>
        <w:topLinePunct w:val="0"/>
        <w:bidi w:val="0"/>
        <w:spacing w:beforeAutospacing="0" w:afterAutospacing="0" w:line="440" w:lineRule="exact"/>
        <w:ind w:left="0" w:leftChars="0" w:right="0" w:firstLine="432" w:firstLineChars="200"/>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2"/>
          <w:sz w:val="22"/>
          <w:szCs w:val="22"/>
          <w:highlight w:val="none"/>
          <w:lang w:val="en-US" w:eastAsia="zh-CN"/>
        </w:rPr>
        <w:t>乙方保证项目服务管理人员包括：项目经理、主管、宣传策划、培训讲师、内勤、数据专员、公众号采编共计</w:t>
      </w:r>
      <w:r>
        <w:rPr>
          <w:rFonts w:hint="eastAsia" w:ascii="仿宋" w:hAnsi="仿宋" w:eastAsia="仿宋" w:cs="仿宋"/>
          <w:color w:val="auto"/>
          <w:spacing w:val="-2"/>
          <w:sz w:val="22"/>
          <w:szCs w:val="22"/>
          <w:highlight w:val="none"/>
          <w:u w:val="single"/>
          <w:lang w:val="en-US" w:eastAsia="zh-CN"/>
        </w:rPr>
        <w:t xml:space="preserve">   </w:t>
      </w:r>
      <w:r>
        <w:rPr>
          <w:rFonts w:hint="eastAsia" w:ascii="仿宋" w:hAnsi="仿宋" w:eastAsia="仿宋" w:cs="仿宋"/>
          <w:color w:val="auto"/>
          <w:spacing w:val="-2"/>
          <w:sz w:val="22"/>
          <w:szCs w:val="22"/>
          <w:highlight w:val="none"/>
          <w:lang w:val="en-US" w:eastAsia="zh-CN"/>
        </w:rPr>
        <w:t>人，宣传督导员满足服务要求足额配备。</w:t>
      </w:r>
    </w:p>
    <w:p w14:paraId="5CB12684">
      <w:pPr>
        <w:pageBreakBefore w:val="0"/>
        <w:kinsoku/>
        <w:overflowPunct/>
        <w:topLinePunct w:val="0"/>
        <w:bidi w:val="0"/>
        <w:spacing w:beforeAutospacing="0" w:afterAutospacing="0" w:line="440" w:lineRule="exact"/>
        <w:ind w:left="0" w:leftChars="0" w:right="0" w:firstLine="432" w:firstLineChars="200"/>
        <w:outlineLvl w:val="2"/>
        <w:rPr>
          <w:rFonts w:hint="eastAsia" w:ascii="仿宋" w:hAnsi="仿宋" w:eastAsia="仿宋" w:cs="仿宋"/>
          <w:color w:val="auto"/>
          <w:sz w:val="22"/>
          <w:szCs w:val="22"/>
          <w:highlight w:val="none"/>
        </w:rPr>
      </w:pPr>
      <w:bookmarkStart w:id="4" w:name="_Toc28484"/>
      <w:r>
        <w:rPr>
          <w:rFonts w:hint="eastAsia" w:ascii="仿宋" w:hAnsi="仿宋" w:eastAsia="仿宋" w:cs="仿宋"/>
          <w:color w:val="auto"/>
          <w:spacing w:val="-2"/>
          <w:sz w:val="22"/>
          <w:szCs w:val="22"/>
          <w:highlight w:val="none"/>
        </w:rPr>
        <w:t>（二）宣传培训服务工作</w:t>
      </w:r>
      <w:bookmarkEnd w:id="4"/>
    </w:p>
    <w:p w14:paraId="5BEEEA03">
      <w:pPr>
        <w:pageBreakBefore w:val="0"/>
        <w:kinsoku/>
        <w:overflowPunct/>
        <w:topLinePunct w:val="0"/>
        <w:bidi w:val="0"/>
        <w:spacing w:beforeAutospacing="0" w:afterAutospacing="0" w:line="440" w:lineRule="exact"/>
        <w:ind w:left="0" w:leftChars="0" w:right="0" w:firstLine="492"/>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乙方负责在本合同约定服务地域范围内组织相关垃圾分类宣传活动、培训活动，以</w:t>
      </w:r>
      <w:r>
        <w:rPr>
          <w:rFonts w:hint="eastAsia" w:ascii="仿宋" w:hAnsi="仿宋" w:eastAsia="仿宋" w:cs="仿宋"/>
          <w:color w:val="auto"/>
          <w:spacing w:val="-2"/>
          <w:sz w:val="22"/>
          <w:szCs w:val="22"/>
          <w:highlight w:val="none"/>
        </w:rPr>
        <w:t>多种形式宣传和普及</w:t>
      </w:r>
      <w:r>
        <w:rPr>
          <w:rFonts w:hint="eastAsia" w:ascii="仿宋" w:hAnsi="仿宋" w:eastAsia="仿宋" w:cs="仿宋"/>
          <w:color w:val="auto"/>
          <w:spacing w:val="-2"/>
          <w:sz w:val="22"/>
          <w:szCs w:val="22"/>
          <w:highlight w:val="none"/>
          <w:lang w:val="en-US" w:eastAsia="zh-CN"/>
        </w:rPr>
        <w:t>生活</w:t>
      </w:r>
      <w:r>
        <w:rPr>
          <w:rFonts w:hint="eastAsia" w:ascii="仿宋" w:hAnsi="仿宋" w:eastAsia="仿宋" w:cs="仿宋"/>
          <w:color w:val="auto"/>
          <w:spacing w:val="-2"/>
          <w:sz w:val="22"/>
          <w:szCs w:val="22"/>
          <w:highlight w:val="none"/>
        </w:rPr>
        <w:t>垃圾分类投放的专业知识</w:t>
      </w:r>
      <w:r>
        <w:rPr>
          <w:rFonts w:hint="eastAsia" w:ascii="仿宋" w:hAnsi="仿宋" w:eastAsia="仿宋" w:cs="仿宋"/>
          <w:color w:val="auto"/>
          <w:spacing w:val="-3"/>
          <w:sz w:val="22"/>
          <w:szCs w:val="22"/>
          <w:highlight w:val="none"/>
        </w:rPr>
        <w:t>，有详细的宣传培训工作方案。</w:t>
      </w:r>
    </w:p>
    <w:p w14:paraId="5F55F974">
      <w:pPr>
        <w:pageBreakBefore w:val="0"/>
        <w:numPr>
          <w:ilvl w:val="0"/>
          <w:numId w:val="0"/>
        </w:numPr>
        <w:kinsoku/>
        <w:overflowPunct/>
        <w:topLinePunct w:val="0"/>
        <w:bidi w:val="0"/>
        <w:spacing w:beforeAutospacing="0" w:afterAutospacing="0" w:line="440" w:lineRule="exact"/>
        <w:ind w:leftChars="200" w:right="0" w:rightChars="0"/>
        <w:outlineLvl w:val="2"/>
        <w:rPr>
          <w:rFonts w:hint="eastAsia" w:ascii="仿宋" w:hAnsi="仿宋" w:eastAsia="仿宋" w:cs="仿宋"/>
          <w:color w:val="auto"/>
          <w:spacing w:val="-3"/>
          <w:sz w:val="22"/>
          <w:szCs w:val="22"/>
          <w:highlight w:val="none"/>
        </w:rPr>
      </w:pPr>
      <w:bookmarkStart w:id="5" w:name="_Toc15758"/>
      <w:r>
        <w:rPr>
          <w:rFonts w:hint="eastAsia" w:ascii="仿宋" w:hAnsi="仿宋" w:eastAsia="仿宋" w:cs="仿宋"/>
          <w:color w:val="auto"/>
          <w:spacing w:val="-2"/>
          <w:sz w:val="22"/>
          <w:szCs w:val="22"/>
          <w:highlight w:val="none"/>
        </w:rPr>
        <w:t>（</w:t>
      </w:r>
      <w:r>
        <w:rPr>
          <w:rFonts w:hint="eastAsia" w:ascii="仿宋" w:hAnsi="仿宋" w:eastAsia="仿宋" w:cs="仿宋"/>
          <w:color w:val="auto"/>
          <w:spacing w:val="-2"/>
          <w:sz w:val="22"/>
          <w:szCs w:val="22"/>
          <w:highlight w:val="none"/>
          <w:lang w:eastAsia="zh-CN"/>
        </w:rPr>
        <w:t>三</w:t>
      </w:r>
      <w:r>
        <w:rPr>
          <w:rFonts w:hint="eastAsia" w:ascii="仿宋" w:hAnsi="仿宋" w:eastAsia="仿宋" w:cs="仿宋"/>
          <w:color w:val="auto"/>
          <w:spacing w:val="-2"/>
          <w:sz w:val="22"/>
          <w:szCs w:val="22"/>
          <w:highlight w:val="none"/>
        </w:rPr>
        <w:t>）</w:t>
      </w:r>
      <w:r>
        <w:rPr>
          <w:rFonts w:hint="eastAsia" w:ascii="仿宋" w:hAnsi="仿宋" w:eastAsia="仿宋" w:cs="仿宋"/>
          <w:color w:val="auto"/>
          <w:spacing w:val="-3"/>
          <w:sz w:val="22"/>
          <w:szCs w:val="22"/>
          <w:highlight w:val="none"/>
        </w:rPr>
        <w:t>大数据平台</w:t>
      </w:r>
      <w:bookmarkEnd w:id="5"/>
    </w:p>
    <w:p w14:paraId="6EEF3E9B">
      <w:pPr>
        <w:pageBreakBefore w:val="0"/>
        <w:numPr>
          <w:ilvl w:val="0"/>
          <w:numId w:val="0"/>
        </w:numPr>
        <w:kinsoku/>
        <w:overflowPunct/>
        <w:topLinePunct w:val="0"/>
        <w:bidi w:val="0"/>
        <w:spacing w:beforeAutospacing="0" w:afterAutospacing="0" w:line="440" w:lineRule="exact"/>
        <w:ind w:left="0" w:leftChars="0" w:right="0" w:firstLine="412" w:firstLineChars="200"/>
        <w:rPr>
          <w:rFonts w:hint="eastAsia" w:ascii="仿宋" w:hAnsi="仿宋" w:eastAsia="仿宋" w:cs="仿宋"/>
          <w:color w:val="auto"/>
          <w:spacing w:val="-2"/>
          <w:sz w:val="22"/>
          <w:szCs w:val="22"/>
          <w:highlight w:val="none"/>
        </w:rPr>
      </w:pPr>
      <w:r>
        <w:rPr>
          <w:rFonts w:hint="eastAsia" w:ascii="仿宋" w:hAnsi="仿宋" w:eastAsia="仿宋" w:cs="仿宋"/>
          <w:color w:val="auto"/>
          <w:spacing w:val="-7"/>
          <w:sz w:val="22"/>
          <w:szCs w:val="22"/>
          <w:highlight w:val="none"/>
        </w:rPr>
        <w:t>1.数字信息管理平台可网格化全域数据统计，适时掌控</w:t>
      </w:r>
      <w:r>
        <w:rPr>
          <w:rFonts w:hint="eastAsia" w:ascii="仿宋" w:hAnsi="仿宋" w:eastAsia="仿宋" w:cs="仿宋"/>
          <w:color w:val="auto"/>
          <w:spacing w:val="-8"/>
          <w:sz w:val="22"/>
          <w:szCs w:val="22"/>
          <w:highlight w:val="none"/>
        </w:rPr>
        <w:t>发生问题，并根据反馈问题，</w:t>
      </w:r>
      <w:r>
        <w:rPr>
          <w:rFonts w:hint="eastAsia" w:ascii="仿宋" w:hAnsi="仿宋" w:eastAsia="仿宋" w:cs="仿宋"/>
          <w:color w:val="auto"/>
          <w:spacing w:val="-2"/>
          <w:sz w:val="22"/>
          <w:szCs w:val="22"/>
          <w:highlight w:val="none"/>
        </w:rPr>
        <w:t>有针对性地督导检查。</w:t>
      </w:r>
    </w:p>
    <w:p w14:paraId="5F0F5871">
      <w:pPr>
        <w:pageBreakBefore w:val="0"/>
        <w:kinsoku/>
        <w:overflowPunct/>
        <w:topLinePunct w:val="0"/>
        <w:bidi w:val="0"/>
        <w:spacing w:beforeAutospacing="0" w:afterAutospacing="0" w:line="440" w:lineRule="exact"/>
        <w:ind w:left="0" w:leftChars="0" w:right="0" w:firstLine="432" w:firstLineChars="200"/>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2.数字化信息软件云服务器使用费，小程序小游戏程序认证、接口维护，其他常规</w:t>
      </w:r>
      <w:r>
        <w:rPr>
          <w:rFonts w:hint="eastAsia" w:ascii="仿宋" w:hAnsi="仿宋" w:eastAsia="仿宋" w:cs="仿宋"/>
          <w:color w:val="auto"/>
          <w:spacing w:val="-1"/>
          <w:sz w:val="22"/>
          <w:szCs w:val="22"/>
          <w:highlight w:val="none"/>
        </w:rPr>
        <w:t>维护网络使用等费用均包含在此次报价中。</w:t>
      </w:r>
    </w:p>
    <w:p w14:paraId="0F2B2111">
      <w:pPr>
        <w:pageBreakBefore w:val="0"/>
        <w:kinsoku/>
        <w:overflowPunct/>
        <w:topLinePunct w:val="0"/>
        <w:bidi w:val="0"/>
        <w:spacing w:beforeAutospacing="0" w:afterAutospacing="0" w:line="440" w:lineRule="exact"/>
        <w:ind w:left="0" w:leftChars="0" w:right="0"/>
        <w:outlineLvl w:val="1"/>
        <w:rPr>
          <w:rFonts w:hint="eastAsia" w:ascii="仿宋" w:hAnsi="仿宋" w:eastAsia="仿宋" w:cs="仿宋"/>
          <w:color w:val="auto"/>
          <w:sz w:val="22"/>
          <w:szCs w:val="22"/>
          <w:highlight w:val="none"/>
        </w:rPr>
      </w:pPr>
      <w:bookmarkStart w:id="6" w:name="_Toc15277"/>
      <w:r>
        <w:rPr>
          <w:rFonts w:hint="eastAsia" w:ascii="仿宋" w:hAnsi="仿宋" w:eastAsia="仿宋" w:cs="仿宋"/>
          <w:color w:val="auto"/>
          <w:spacing w:val="-4"/>
          <w:sz w:val="22"/>
          <w:szCs w:val="22"/>
          <w:highlight w:val="none"/>
        </w:rPr>
        <w:t>四、服务费用：</w:t>
      </w:r>
      <w:bookmarkEnd w:id="6"/>
    </w:p>
    <w:p w14:paraId="367132D2">
      <w:pPr>
        <w:pageBreakBefore w:val="0"/>
        <w:kinsoku/>
        <w:overflowPunct/>
        <w:topLinePunct w:val="0"/>
        <w:bidi w:val="0"/>
        <w:spacing w:beforeAutospacing="0" w:afterAutospacing="0" w:line="440" w:lineRule="exact"/>
        <w:ind w:left="0" w:leftChars="0" w:right="0"/>
        <w:outlineLvl w:val="2"/>
        <w:rPr>
          <w:rFonts w:hint="eastAsia" w:ascii="仿宋" w:hAnsi="仿宋" w:eastAsia="仿宋" w:cs="仿宋"/>
          <w:color w:val="auto"/>
          <w:spacing w:val="-3"/>
          <w:sz w:val="22"/>
          <w:szCs w:val="22"/>
          <w:highlight w:val="none"/>
        </w:rPr>
      </w:pPr>
      <w:bookmarkStart w:id="7" w:name="_Toc4876"/>
      <w:r>
        <w:rPr>
          <w:rFonts w:hint="eastAsia" w:ascii="仿宋" w:hAnsi="仿宋" w:eastAsia="仿宋" w:cs="仿宋"/>
          <w:color w:val="auto"/>
          <w:spacing w:val="-3"/>
          <w:sz w:val="22"/>
          <w:szCs w:val="22"/>
          <w:highlight w:val="none"/>
        </w:rPr>
        <w:t>（一）、服务费用</w:t>
      </w:r>
      <w:bookmarkEnd w:id="7"/>
    </w:p>
    <w:p w14:paraId="43048146">
      <w:pPr>
        <w:pageBreakBefore w:val="0"/>
        <w:kinsoku/>
        <w:overflowPunct/>
        <w:topLinePunct w:val="0"/>
        <w:bidi w:val="0"/>
        <w:spacing w:beforeAutospacing="0" w:afterAutospacing="0" w:line="440" w:lineRule="exact"/>
        <w:ind w:left="0" w:leftChars="0" w:right="0" w:firstLine="424" w:firstLineChars="200"/>
        <w:rPr>
          <w:rFonts w:hint="eastAsia" w:ascii="仿宋" w:hAnsi="仿宋" w:eastAsia="仿宋" w:cs="仿宋"/>
          <w:color w:val="auto"/>
          <w:sz w:val="22"/>
          <w:szCs w:val="22"/>
          <w:highlight w:val="none"/>
        </w:rPr>
      </w:pPr>
      <w:r>
        <w:rPr>
          <w:rFonts w:hint="eastAsia" w:ascii="仿宋" w:hAnsi="仿宋" w:eastAsia="仿宋" w:cs="仿宋"/>
          <w:color w:val="auto"/>
          <w:spacing w:val="-4"/>
          <w:sz w:val="22"/>
          <w:szCs w:val="22"/>
          <w:highlight w:val="none"/>
        </w:rPr>
        <w:t>本项目服务费用共计：￥</w:t>
      </w:r>
      <w:r>
        <w:rPr>
          <w:rFonts w:hint="eastAsia" w:ascii="仿宋" w:hAnsi="仿宋" w:eastAsia="仿宋" w:cs="仿宋"/>
          <w:color w:val="auto"/>
          <w:spacing w:val="-95"/>
          <w:sz w:val="22"/>
          <w:szCs w:val="22"/>
          <w:highlight w:val="none"/>
        </w:rPr>
        <w:t xml:space="preserve"> </w:t>
      </w:r>
      <w:r>
        <w:rPr>
          <w:rFonts w:hint="eastAsia" w:ascii="仿宋" w:hAnsi="仿宋" w:eastAsia="仿宋" w:cs="仿宋"/>
          <w:color w:val="auto"/>
          <w:sz w:val="22"/>
          <w:szCs w:val="22"/>
          <w:highlight w:val="none"/>
          <w:u w:val="single" w:color="auto"/>
        </w:rPr>
        <w:t xml:space="preserve">        </w:t>
      </w:r>
      <w:r>
        <w:rPr>
          <w:rFonts w:hint="eastAsia" w:ascii="仿宋" w:hAnsi="仿宋" w:eastAsia="仿宋" w:cs="仿宋"/>
          <w:color w:val="auto"/>
          <w:spacing w:val="-109"/>
          <w:sz w:val="22"/>
          <w:szCs w:val="22"/>
          <w:highlight w:val="none"/>
        </w:rPr>
        <w:t xml:space="preserve"> </w:t>
      </w:r>
      <w:r>
        <w:rPr>
          <w:rFonts w:hint="eastAsia" w:ascii="仿宋" w:hAnsi="仿宋" w:eastAsia="仿宋" w:cs="仿宋"/>
          <w:color w:val="auto"/>
          <w:spacing w:val="-4"/>
          <w:sz w:val="22"/>
          <w:szCs w:val="22"/>
          <w:highlight w:val="none"/>
        </w:rPr>
        <w:t>元/年（大写：人民币</w:t>
      </w:r>
      <w:r>
        <w:rPr>
          <w:rFonts w:hint="eastAsia" w:ascii="仿宋" w:hAnsi="仿宋" w:eastAsia="仿宋" w:cs="仿宋"/>
          <w:color w:val="auto"/>
          <w:spacing w:val="-4"/>
          <w:sz w:val="22"/>
          <w:szCs w:val="22"/>
          <w:highlight w:val="none"/>
          <w:u w:val="single" w:color="auto"/>
        </w:rPr>
        <w:t xml:space="preserve">    </w:t>
      </w:r>
      <w:r>
        <w:rPr>
          <w:rFonts w:hint="eastAsia" w:ascii="仿宋" w:hAnsi="仿宋" w:eastAsia="仿宋" w:cs="仿宋"/>
          <w:color w:val="auto"/>
          <w:spacing w:val="-5"/>
          <w:sz w:val="22"/>
          <w:szCs w:val="22"/>
          <w:highlight w:val="none"/>
          <w:u w:val="single" w:color="auto"/>
        </w:rPr>
        <w:t xml:space="preserve">   </w:t>
      </w:r>
      <w:r>
        <w:rPr>
          <w:rFonts w:hint="eastAsia" w:ascii="仿宋" w:hAnsi="仿宋" w:eastAsia="仿宋" w:cs="仿宋"/>
          <w:color w:val="auto"/>
          <w:spacing w:val="35"/>
          <w:sz w:val="22"/>
          <w:szCs w:val="22"/>
          <w:highlight w:val="none"/>
        </w:rPr>
        <w:t xml:space="preserve"> </w:t>
      </w:r>
      <w:r>
        <w:rPr>
          <w:rFonts w:hint="eastAsia" w:ascii="仿宋" w:hAnsi="仿宋" w:eastAsia="仿宋" w:cs="仿宋"/>
          <w:color w:val="auto"/>
          <w:spacing w:val="-5"/>
          <w:sz w:val="22"/>
          <w:szCs w:val="22"/>
          <w:highlight w:val="none"/>
        </w:rPr>
        <w:t>）。 合同总价为</w:t>
      </w:r>
      <w:r>
        <w:rPr>
          <w:rFonts w:hint="eastAsia" w:ascii="仿宋" w:hAnsi="仿宋" w:eastAsia="仿宋" w:cs="仿宋"/>
          <w:color w:val="auto"/>
          <w:sz w:val="22"/>
          <w:szCs w:val="22"/>
          <w:highlight w:val="none"/>
        </w:rPr>
        <w:t>包干价，包含本合同期内运行服务全部内容，</w:t>
      </w:r>
      <w:r>
        <w:rPr>
          <w:rFonts w:hint="eastAsia" w:ascii="仿宋" w:hAnsi="仿宋" w:eastAsia="仿宋" w:cs="仿宋"/>
          <w:color w:val="auto"/>
          <w:spacing w:val="-1"/>
          <w:sz w:val="22"/>
          <w:szCs w:val="22"/>
          <w:highlight w:val="none"/>
        </w:rPr>
        <w:t>不受市场价变化的影响。</w:t>
      </w:r>
    </w:p>
    <w:p w14:paraId="21C83ABA">
      <w:pPr>
        <w:pageBreakBefore w:val="0"/>
        <w:kinsoku/>
        <w:overflowPunct/>
        <w:topLinePunct w:val="0"/>
        <w:bidi w:val="0"/>
        <w:spacing w:beforeAutospacing="0" w:afterAutospacing="0" w:line="440" w:lineRule="exact"/>
        <w:ind w:left="0" w:leftChars="0" w:right="0"/>
        <w:outlineLvl w:val="2"/>
        <w:rPr>
          <w:rFonts w:hint="eastAsia" w:ascii="仿宋" w:hAnsi="仿宋" w:eastAsia="仿宋" w:cs="仿宋"/>
          <w:color w:val="auto"/>
          <w:sz w:val="22"/>
          <w:szCs w:val="22"/>
          <w:highlight w:val="none"/>
        </w:rPr>
      </w:pPr>
      <w:bookmarkStart w:id="8" w:name="_Toc12709"/>
      <w:r>
        <w:rPr>
          <w:rFonts w:hint="eastAsia" w:ascii="仿宋" w:hAnsi="仿宋" w:eastAsia="仿宋" w:cs="仿宋"/>
          <w:color w:val="auto"/>
          <w:spacing w:val="-3"/>
          <w:sz w:val="22"/>
          <w:szCs w:val="22"/>
          <w:highlight w:val="none"/>
        </w:rPr>
        <w:t>（二）、付款方式：</w:t>
      </w:r>
      <w:bookmarkEnd w:id="8"/>
    </w:p>
    <w:p w14:paraId="26940F2A">
      <w:pPr>
        <w:pageBreakBefore w:val="0"/>
        <w:kinsoku/>
        <w:overflowPunct/>
        <w:topLinePunct w:val="0"/>
        <w:bidi w:val="0"/>
        <w:spacing w:beforeAutospacing="0" w:afterAutospacing="0" w:line="440" w:lineRule="exact"/>
        <w:ind w:left="0" w:leftChars="0" w:right="0" w:firstLine="432" w:firstLineChars="200"/>
        <w:rPr>
          <w:rFonts w:hint="eastAsia" w:ascii="仿宋" w:hAnsi="仿宋" w:eastAsia="仿宋" w:cs="仿宋"/>
          <w:color w:val="auto"/>
          <w:spacing w:val="-2"/>
          <w:sz w:val="22"/>
          <w:szCs w:val="22"/>
          <w:highlight w:val="none"/>
          <w:lang w:eastAsia="zh-CN"/>
        </w:rPr>
      </w:pPr>
      <w:r>
        <w:rPr>
          <w:rFonts w:hint="eastAsia" w:ascii="仿宋" w:hAnsi="仿宋" w:eastAsia="仿宋" w:cs="仿宋"/>
          <w:color w:val="auto"/>
          <w:spacing w:val="-2"/>
          <w:sz w:val="22"/>
          <w:szCs w:val="22"/>
          <w:highlight w:val="none"/>
        </w:rPr>
        <w:t>1、付款比例</w:t>
      </w:r>
    </w:p>
    <w:p w14:paraId="783F2E4E">
      <w:pPr>
        <w:pageBreakBefore w:val="0"/>
        <w:kinsoku/>
        <w:overflowPunct/>
        <w:topLinePunct w:val="0"/>
        <w:bidi w:val="0"/>
        <w:spacing w:beforeAutospacing="0" w:afterAutospacing="0" w:line="440" w:lineRule="exact"/>
        <w:ind w:left="0" w:leftChars="0" w:right="0" w:firstLine="432" w:firstLineChars="200"/>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按月进行支付，每月5日前，乙方向甲方报送上月服务费用确认单，25号至月底甲方向乙方支付管理服务费用</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lang w:val="en-US" w:eastAsia="zh-CN"/>
        </w:rPr>
        <w:t>结算金额不超过中标金额</w:t>
      </w:r>
      <w:r>
        <w:rPr>
          <w:rFonts w:hint="eastAsia" w:ascii="仿宋" w:hAnsi="仿宋" w:eastAsia="仿宋" w:cs="仿宋"/>
          <w:color w:val="auto"/>
          <w:spacing w:val="-2"/>
          <w:sz w:val="22"/>
          <w:szCs w:val="22"/>
          <w:highlight w:val="none"/>
        </w:rPr>
        <w:t>。</w:t>
      </w:r>
    </w:p>
    <w:p w14:paraId="333137C8">
      <w:pPr>
        <w:pageBreakBefore w:val="0"/>
        <w:kinsoku/>
        <w:overflowPunct/>
        <w:topLinePunct w:val="0"/>
        <w:bidi w:val="0"/>
        <w:spacing w:beforeAutospacing="0" w:afterAutospacing="0" w:line="440" w:lineRule="exact"/>
        <w:ind w:left="0" w:leftChars="0" w:right="0" w:firstLine="432" w:firstLineChars="200"/>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甲方通过银行转账方式向乙方指定账户支付合同价款，乙方应对其提供的银行账户信息的真实性、合法性和关联性负责，如因乙方提供的银行账户信息有误导致甲方错误转款的，视为甲方已按照本合同约定履行了付款义务。</w:t>
      </w:r>
    </w:p>
    <w:p w14:paraId="63FFF640">
      <w:pPr>
        <w:pageBreakBefore w:val="0"/>
        <w:kinsoku/>
        <w:overflowPunct/>
        <w:topLinePunct w:val="0"/>
        <w:bidi w:val="0"/>
        <w:spacing w:beforeAutospacing="0" w:afterAutospacing="0" w:line="440" w:lineRule="exact"/>
        <w:ind w:right="0" w:firstLine="432" w:firstLineChars="200"/>
        <w:outlineLvl w:val="2"/>
        <w:rPr>
          <w:rFonts w:hint="default" w:ascii="仿宋" w:hAnsi="仿宋" w:eastAsia="仿宋" w:cs="仿宋"/>
          <w:color w:val="auto"/>
          <w:spacing w:val="-2"/>
          <w:sz w:val="22"/>
          <w:szCs w:val="22"/>
          <w:highlight w:val="none"/>
          <w:lang w:val="en-US" w:eastAsia="zh-CN"/>
        </w:rPr>
      </w:pPr>
      <w:r>
        <w:rPr>
          <w:rFonts w:hint="eastAsia" w:ascii="仿宋" w:hAnsi="仿宋" w:eastAsia="仿宋" w:cs="仿宋"/>
          <w:color w:val="auto"/>
          <w:spacing w:val="-2"/>
          <w:sz w:val="22"/>
          <w:szCs w:val="22"/>
          <w:highlight w:val="none"/>
          <w:lang w:val="en-US" w:eastAsia="zh-CN"/>
        </w:rPr>
        <w:t>3、考核结果和付款金额相关联，考核得分≥85分为合格，考核得分＜85分的，按考核结果不合格对待。由采购人出具整改通知书，并在通知书下达7日进行整改。整改完成后，采购人将组织复评。复评得分≥85分的，视为整改合格，按合同约定付款；复评仍＜85分的，按不合格处理，具体按当月付款金额的1%进行处罚。</w:t>
      </w:r>
    </w:p>
    <w:p w14:paraId="46DE39FD">
      <w:pPr>
        <w:pageBreakBefore w:val="0"/>
        <w:kinsoku/>
        <w:overflowPunct/>
        <w:topLinePunct w:val="0"/>
        <w:bidi w:val="0"/>
        <w:spacing w:beforeAutospacing="0" w:afterAutospacing="0" w:line="440" w:lineRule="exact"/>
        <w:ind w:left="0" w:leftChars="0" w:right="0"/>
        <w:outlineLvl w:val="2"/>
        <w:rPr>
          <w:rFonts w:hint="eastAsia" w:ascii="仿宋" w:hAnsi="仿宋" w:eastAsia="仿宋" w:cs="仿宋"/>
          <w:color w:val="auto"/>
          <w:spacing w:val="-2"/>
          <w:sz w:val="22"/>
          <w:szCs w:val="22"/>
          <w:highlight w:val="none"/>
        </w:rPr>
      </w:pPr>
      <w:bookmarkStart w:id="9" w:name="_Toc23014"/>
      <w:r>
        <w:rPr>
          <w:rFonts w:hint="eastAsia" w:ascii="仿宋" w:hAnsi="仿宋" w:eastAsia="仿宋" w:cs="仿宋"/>
          <w:color w:val="auto"/>
          <w:spacing w:val="-2"/>
          <w:sz w:val="22"/>
          <w:szCs w:val="22"/>
          <w:highlight w:val="none"/>
        </w:rPr>
        <w:t>（三）结算单位以及发票开具</w:t>
      </w:r>
      <w:bookmarkEnd w:id="9"/>
    </w:p>
    <w:p w14:paraId="687AB39F">
      <w:pPr>
        <w:pageBreakBefore w:val="0"/>
        <w:kinsoku/>
        <w:overflowPunct/>
        <w:topLinePunct w:val="0"/>
        <w:bidi w:val="0"/>
        <w:spacing w:beforeAutospacing="0" w:afterAutospacing="0" w:line="440" w:lineRule="exact"/>
        <w:ind w:right="0" w:firstLine="436" w:firstLineChars="200"/>
        <w:outlineLvl w:val="2"/>
        <w:rPr>
          <w:rFonts w:hint="eastAsia" w:ascii="仿宋" w:hAnsi="仿宋" w:eastAsia="仿宋" w:cs="仿宋"/>
          <w:color w:val="auto"/>
          <w:spacing w:val="-1"/>
          <w:sz w:val="22"/>
          <w:szCs w:val="22"/>
          <w:highlight w:val="none"/>
        </w:rPr>
      </w:pPr>
      <w:r>
        <w:rPr>
          <w:rFonts w:hint="eastAsia" w:ascii="仿宋" w:hAnsi="仿宋" w:eastAsia="仿宋" w:cs="仿宋"/>
          <w:color w:val="auto"/>
          <w:spacing w:val="-1"/>
          <w:sz w:val="22"/>
          <w:szCs w:val="22"/>
          <w:highlight w:val="none"/>
        </w:rPr>
        <w:t>1.由甲方负责合同价款的审核结算，甲方按照结算金额向乙方付款。</w:t>
      </w:r>
    </w:p>
    <w:p w14:paraId="0A963292">
      <w:pPr>
        <w:pageBreakBefore w:val="0"/>
        <w:kinsoku/>
        <w:overflowPunct/>
        <w:topLinePunct w:val="0"/>
        <w:bidi w:val="0"/>
        <w:spacing w:beforeAutospacing="0" w:afterAutospacing="0" w:line="440" w:lineRule="exact"/>
        <w:ind w:right="0" w:firstLine="432" w:firstLineChars="200"/>
        <w:outlineLvl w:val="2"/>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2.甲方每次向乙方支付服务费用前，乙方向甲方开具符</w:t>
      </w:r>
      <w:r>
        <w:rPr>
          <w:rFonts w:hint="eastAsia" w:ascii="仿宋" w:hAnsi="仿宋" w:eastAsia="仿宋" w:cs="仿宋"/>
          <w:color w:val="auto"/>
          <w:spacing w:val="-3"/>
          <w:sz w:val="22"/>
          <w:szCs w:val="22"/>
          <w:highlight w:val="none"/>
        </w:rPr>
        <w:t>合甲方财务部门要求的等额</w:t>
      </w:r>
      <w:r>
        <w:rPr>
          <w:rFonts w:hint="eastAsia" w:ascii="仿宋" w:hAnsi="仿宋" w:eastAsia="仿宋" w:cs="仿宋"/>
          <w:color w:val="auto"/>
          <w:spacing w:val="-2"/>
          <w:sz w:val="22"/>
          <w:szCs w:val="22"/>
          <w:highlight w:val="none"/>
        </w:rPr>
        <w:t>税务发票，如乙方未向甲方开具发票的，甲方有权拒付服务费用，且甲方</w:t>
      </w:r>
      <w:r>
        <w:rPr>
          <w:rFonts w:hint="eastAsia" w:ascii="仿宋" w:hAnsi="仿宋" w:eastAsia="仿宋" w:cs="仿宋"/>
          <w:color w:val="auto"/>
          <w:spacing w:val="-3"/>
          <w:sz w:val="22"/>
          <w:szCs w:val="22"/>
          <w:highlight w:val="none"/>
        </w:rPr>
        <w:t>的拒付行为不</w:t>
      </w:r>
      <w:r>
        <w:rPr>
          <w:rFonts w:hint="eastAsia" w:ascii="仿宋" w:hAnsi="仿宋" w:eastAsia="仿宋" w:cs="仿宋"/>
          <w:color w:val="auto"/>
          <w:spacing w:val="-2"/>
          <w:sz w:val="22"/>
          <w:szCs w:val="22"/>
          <w:highlight w:val="none"/>
        </w:rPr>
        <w:t>应视为违约。</w:t>
      </w:r>
    </w:p>
    <w:p w14:paraId="4941098D">
      <w:pPr>
        <w:pageBreakBefore w:val="0"/>
        <w:kinsoku/>
        <w:overflowPunct/>
        <w:topLinePunct w:val="0"/>
        <w:bidi w:val="0"/>
        <w:spacing w:beforeAutospacing="0" w:afterAutospacing="0" w:line="440" w:lineRule="exact"/>
        <w:ind w:left="0" w:leftChars="0" w:right="0"/>
        <w:outlineLvl w:val="1"/>
        <w:rPr>
          <w:rFonts w:hint="eastAsia" w:ascii="仿宋" w:hAnsi="仿宋" w:eastAsia="仿宋" w:cs="仿宋"/>
          <w:color w:val="auto"/>
          <w:sz w:val="22"/>
          <w:szCs w:val="22"/>
          <w:highlight w:val="none"/>
        </w:rPr>
      </w:pPr>
      <w:bookmarkStart w:id="10" w:name="_Toc15985"/>
      <w:r>
        <w:rPr>
          <w:rFonts w:hint="eastAsia" w:ascii="仿宋" w:hAnsi="仿宋" w:eastAsia="仿宋" w:cs="仿宋"/>
          <w:color w:val="auto"/>
          <w:spacing w:val="-1"/>
          <w:sz w:val="22"/>
          <w:szCs w:val="22"/>
          <w:highlight w:val="none"/>
        </w:rPr>
        <w:t>五、生活垃圾分类服务管理质量标准：</w:t>
      </w:r>
      <w:bookmarkEnd w:id="10"/>
    </w:p>
    <w:p w14:paraId="13AC3BF9">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（一）乙方严格按照《富平县生活垃圾分类工作实施方案》管理规定，开展城区生</w:t>
      </w:r>
      <w:r>
        <w:rPr>
          <w:rFonts w:hint="eastAsia" w:ascii="仿宋" w:hAnsi="仿宋" w:eastAsia="仿宋" w:cs="仿宋"/>
          <w:color w:val="auto"/>
          <w:spacing w:val="-2"/>
          <w:sz w:val="22"/>
          <w:szCs w:val="22"/>
          <w:highlight w:val="none"/>
        </w:rPr>
        <w:t>活垃圾分类服务管理工作。甲方根据《富平县生活垃圾分类工作实施方</w:t>
      </w:r>
      <w:r>
        <w:rPr>
          <w:rFonts w:hint="eastAsia" w:ascii="仿宋" w:hAnsi="仿宋" w:eastAsia="仿宋" w:cs="仿宋"/>
          <w:color w:val="auto"/>
          <w:spacing w:val="-3"/>
          <w:sz w:val="22"/>
          <w:szCs w:val="22"/>
          <w:highlight w:val="none"/>
        </w:rPr>
        <w:t>案》及《富平县</w:t>
      </w:r>
      <w:r>
        <w:rPr>
          <w:rFonts w:hint="eastAsia" w:ascii="仿宋" w:hAnsi="仿宋" w:eastAsia="仿宋" w:cs="仿宋"/>
          <w:color w:val="auto"/>
          <w:spacing w:val="-2"/>
          <w:sz w:val="22"/>
          <w:szCs w:val="22"/>
          <w:highlight w:val="none"/>
        </w:rPr>
        <w:t>生活垃圾分类运行管理服务考核办法》等相关文件规定，按月对乙方服</w:t>
      </w:r>
      <w:r>
        <w:rPr>
          <w:rFonts w:hint="eastAsia" w:ascii="仿宋" w:hAnsi="仿宋" w:eastAsia="仿宋" w:cs="仿宋"/>
          <w:color w:val="auto"/>
          <w:spacing w:val="-3"/>
          <w:sz w:val="22"/>
          <w:szCs w:val="22"/>
          <w:highlight w:val="none"/>
        </w:rPr>
        <w:t>务管理工作进行</w:t>
      </w:r>
      <w:r>
        <w:rPr>
          <w:rFonts w:hint="eastAsia" w:ascii="仿宋" w:hAnsi="仿宋" w:eastAsia="仿宋" w:cs="仿宋"/>
          <w:color w:val="auto"/>
          <w:spacing w:val="-2"/>
          <w:sz w:val="22"/>
          <w:szCs w:val="22"/>
          <w:highlight w:val="none"/>
        </w:rPr>
        <w:t>考核</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rPr>
        <w:t>垃圾分类</w:t>
      </w:r>
      <w:r>
        <w:rPr>
          <w:rFonts w:hint="eastAsia" w:ascii="仿宋" w:hAnsi="仿宋" w:eastAsia="仿宋" w:cs="仿宋"/>
          <w:color w:val="auto"/>
          <w:spacing w:val="-2"/>
          <w:sz w:val="22"/>
          <w:szCs w:val="22"/>
          <w:highlight w:val="none"/>
          <w:lang w:val="en-US" w:eastAsia="zh-CN"/>
        </w:rPr>
        <w:t>知晓率、参与率、</w:t>
      </w:r>
      <w:r>
        <w:rPr>
          <w:rFonts w:hint="eastAsia" w:ascii="仿宋" w:hAnsi="仿宋" w:eastAsia="仿宋" w:cs="仿宋"/>
          <w:color w:val="auto"/>
          <w:spacing w:val="-2"/>
          <w:sz w:val="22"/>
          <w:szCs w:val="22"/>
          <w:highlight w:val="none"/>
        </w:rPr>
        <w:t>投放准确率要逐月提升，</w:t>
      </w:r>
      <w:r>
        <w:rPr>
          <w:rFonts w:hint="eastAsia" w:ascii="仿宋" w:hAnsi="仿宋" w:eastAsia="仿宋" w:cs="仿宋"/>
          <w:color w:val="auto"/>
          <w:spacing w:val="-2"/>
          <w:sz w:val="22"/>
          <w:szCs w:val="22"/>
          <w:highlight w:val="none"/>
          <w:lang w:eastAsia="zh-CN"/>
        </w:rPr>
        <w:t>服务期</w:t>
      </w:r>
      <w:r>
        <w:rPr>
          <w:rFonts w:hint="eastAsia" w:ascii="仿宋" w:hAnsi="仿宋" w:eastAsia="仿宋" w:cs="仿宋"/>
          <w:color w:val="auto"/>
          <w:spacing w:val="-2"/>
          <w:sz w:val="22"/>
          <w:szCs w:val="22"/>
          <w:highlight w:val="none"/>
        </w:rPr>
        <w:t>的最后一</w:t>
      </w:r>
      <w:r>
        <w:rPr>
          <w:rFonts w:hint="eastAsia" w:ascii="仿宋" w:hAnsi="仿宋" w:eastAsia="仿宋" w:cs="仿宋"/>
          <w:color w:val="auto"/>
          <w:spacing w:val="-3"/>
          <w:sz w:val="22"/>
          <w:szCs w:val="22"/>
          <w:highlight w:val="none"/>
        </w:rPr>
        <w:t>季度，各示范单</w:t>
      </w:r>
      <w:r>
        <w:rPr>
          <w:rFonts w:hint="eastAsia" w:ascii="仿宋" w:hAnsi="仿宋" w:eastAsia="仿宋" w:cs="仿宋"/>
          <w:color w:val="auto"/>
          <w:spacing w:val="-2"/>
          <w:sz w:val="22"/>
          <w:szCs w:val="22"/>
          <w:highlight w:val="none"/>
        </w:rPr>
        <w:t>位分类工作能够达到相关规范要求，按照标准分类运输，并形成垃圾分</w:t>
      </w:r>
      <w:r>
        <w:rPr>
          <w:rFonts w:hint="eastAsia" w:ascii="仿宋" w:hAnsi="仿宋" w:eastAsia="仿宋" w:cs="仿宋"/>
          <w:color w:val="auto"/>
          <w:spacing w:val="-3"/>
          <w:sz w:val="22"/>
          <w:szCs w:val="22"/>
          <w:highlight w:val="none"/>
        </w:rPr>
        <w:t>类工作的完整运</w:t>
      </w:r>
      <w:r>
        <w:rPr>
          <w:rFonts w:hint="eastAsia" w:ascii="仿宋" w:hAnsi="仿宋" w:eastAsia="仿宋" w:cs="仿宋"/>
          <w:color w:val="auto"/>
          <w:spacing w:val="-4"/>
          <w:sz w:val="22"/>
          <w:szCs w:val="22"/>
          <w:highlight w:val="none"/>
        </w:rPr>
        <w:t>行体系。</w:t>
      </w:r>
    </w:p>
    <w:p w14:paraId="7F1F8E7E">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（二）垃圾分类知识培训每年</w:t>
      </w:r>
      <w:r>
        <w:rPr>
          <w:rFonts w:hint="eastAsia" w:ascii="仿宋" w:hAnsi="仿宋" w:eastAsia="仿宋" w:cs="仿宋"/>
          <w:color w:val="auto"/>
          <w:spacing w:val="-2"/>
          <w:sz w:val="22"/>
          <w:szCs w:val="22"/>
          <w:highlight w:val="none"/>
          <w:lang w:val="en-US" w:eastAsia="zh-CN"/>
        </w:rPr>
        <w:t>≥</w:t>
      </w:r>
      <w:r>
        <w:rPr>
          <w:rFonts w:hint="eastAsia" w:ascii="仿宋" w:hAnsi="仿宋" w:eastAsia="仿宋" w:cs="仿宋"/>
          <w:color w:val="auto"/>
          <w:spacing w:val="-2"/>
          <w:sz w:val="22"/>
          <w:szCs w:val="22"/>
          <w:highlight w:val="none"/>
        </w:rPr>
        <w:t>200场，每场</w:t>
      </w:r>
      <w:r>
        <w:rPr>
          <w:rFonts w:hint="eastAsia" w:ascii="仿宋" w:hAnsi="仿宋" w:eastAsia="仿宋" w:cs="仿宋"/>
          <w:color w:val="auto"/>
          <w:spacing w:val="-2"/>
          <w:sz w:val="22"/>
          <w:szCs w:val="22"/>
          <w:highlight w:val="none"/>
          <w:lang w:val="en-US" w:eastAsia="zh-CN"/>
        </w:rPr>
        <w:t>≥</w:t>
      </w:r>
      <w:r>
        <w:rPr>
          <w:rFonts w:hint="eastAsia" w:ascii="仿宋" w:hAnsi="仿宋" w:eastAsia="仿宋" w:cs="仿宋"/>
          <w:color w:val="auto"/>
          <w:spacing w:val="-2"/>
          <w:sz w:val="22"/>
          <w:szCs w:val="22"/>
          <w:highlight w:val="none"/>
        </w:rPr>
        <w:t>30分钟，每场受训人数</w:t>
      </w:r>
      <w:r>
        <w:rPr>
          <w:rFonts w:hint="eastAsia" w:ascii="仿宋" w:hAnsi="仿宋" w:eastAsia="仿宋" w:cs="仿宋"/>
          <w:color w:val="auto"/>
          <w:spacing w:val="-2"/>
          <w:sz w:val="22"/>
          <w:szCs w:val="22"/>
          <w:highlight w:val="none"/>
          <w:lang w:val="en-US" w:eastAsia="zh-CN"/>
        </w:rPr>
        <w:t>≥10</w:t>
      </w:r>
      <w:r>
        <w:rPr>
          <w:rFonts w:hint="eastAsia" w:ascii="仿宋" w:hAnsi="仿宋" w:eastAsia="仿宋" w:cs="仿宋"/>
          <w:color w:val="auto"/>
          <w:spacing w:val="-2"/>
          <w:sz w:val="22"/>
          <w:szCs w:val="22"/>
          <w:highlight w:val="none"/>
        </w:rPr>
        <w:t>人，并有相应资料记录台账；主题宣传活动：结合富平县实际情况制定主题宣传活动</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rPr>
        <w:t>中小型活动</w:t>
      </w:r>
      <w:r>
        <w:rPr>
          <w:rFonts w:hint="eastAsia" w:ascii="仿宋" w:hAnsi="仿宋" w:eastAsia="仿宋" w:cs="仿宋"/>
          <w:color w:val="auto"/>
          <w:spacing w:val="-2"/>
          <w:sz w:val="22"/>
          <w:szCs w:val="22"/>
          <w:highlight w:val="none"/>
          <w:lang w:val="en-US" w:eastAsia="zh-CN"/>
        </w:rPr>
        <w:t>≥68</w:t>
      </w:r>
      <w:r>
        <w:rPr>
          <w:rFonts w:hint="eastAsia" w:ascii="仿宋" w:hAnsi="仿宋" w:eastAsia="仿宋" w:cs="仿宋"/>
          <w:color w:val="auto"/>
          <w:spacing w:val="-2"/>
          <w:sz w:val="22"/>
          <w:szCs w:val="22"/>
          <w:highlight w:val="none"/>
        </w:rPr>
        <w:t>场/年，</w:t>
      </w:r>
      <w:r>
        <w:rPr>
          <w:rFonts w:hint="eastAsia" w:ascii="仿宋" w:hAnsi="仿宋" w:eastAsia="仿宋" w:cs="仿宋"/>
          <w:color w:val="auto"/>
          <w:spacing w:val="-2"/>
          <w:sz w:val="22"/>
          <w:szCs w:val="22"/>
          <w:highlight w:val="none"/>
          <w:lang w:val="en-US" w:eastAsia="zh-CN"/>
        </w:rPr>
        <w:t>中型活动人数≥100、小型活动人数≥50，</w:t>
      </w:r>
      <w:r>
        <w:rPr>
          <w:rFonts w:hint="eastAsia" w:ascii="仿宋" w:hAnsi="仿宋" w:eastAsia="仿宋" w:cs="仿宋"/>
          <w:color w:val="auto"/>
          <w:spacing w:val="-2"/>
          <w:sz w:val="22"/>
          <w:szCs w:val="22"/>
          <w:highlight w:val="none"/>
        </w:rPr>
        <w:t>每场</w:t>
      </w:r>
      <w:r>
        <w:rPr>
          <w:rFonts w:hint="eastAsia" w:ascii="仿宋" w:hAnsi="仿宋" w:eastAsia="仿宋" w:cs="仿宋"/>
          <w:color w:val="auto"/>
          <w:spacing w:val="-2"/>
          <w:sz w:val="22"/>
          <w:szCs w:val="22"/>
          <w:highlight w:val="none"/>
          <w:lang w:val="en-US" w:eastAsia="zh-CN"/>
        </w:rPr>
        <w:t>≥</w:t>
      </w:r>
      <w:r>
        <w:rPr>
          <w:rFonts w:hint="eastAsia" w:ascii="仿宋" w:hAnsi="仿宋" w:eastAsia="仿宋" w:cs="仿宋"/>
          <w:color w:val="auto"/>
          <w:spacing w:val="-2"/>
          <w:sz w:val="22"/>
          <w:szCs w:val="22"/>
          <w:highlight w:val="none"/>
        </w:rPr>
        <w:t>90分钟</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rPr>
        <w:t>咨询台</w:t>
      </w:r>
      <w:r>
        <w:rPr>
          <w:rFonts w:hint="eastAsia" w:ascii="仿宋" w:hAnsi="仿宋" w:eastAsia="仿宋" w:cs="仿宋"/>
          <w:color w:val="auto"/>
          <w:spacing w:val="-2"/>
          <w:sz w:val="22"/>
          <w:szCs w:val="22"/>
          <w:highlight w:val="none"/>
          <w:lang w:val="en-US" w:eastAsia="zh-CN"/>
        </w:rPr>
        <w:t>≥</w:t>
      </w:r>
      <w:r>
        <w:rPr>
          <w:rFonts w:hint="eastAsia" w:ascii="仿宋" w:hAnsi="仿宋" w:eastAsia="仿宋" w:cs="仿宋"/>
          <w:color w:val="auto"/>
          <w:spacing w:val="-2"/>
          <w:sz w:val="22"/>
          <w:szCs w:val="22"/>
          <w:highlight w:val="none"/>
        </w:rPr>
        <w:t>260场/年，并有相应的资料台账记录。</w:t>
      </w:r>
    </w:p>
    <w:p w14:paraId="7CE76E9B">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FF0000"/>
          <w:sz w:val="22"/>
          <w:szCs w:val="22"/>
          <w:highlight w:val="none"/>
        </w:rPr>
      </w:pPr>
      <w:r>
        <w:rPr>
          <w:rFonts w:hint="eastAsia" w:ascii="仿宋" w:hAnsi="仿宋" w:eastAsia="仿宋" w:cs="仿宋"/>
          <w:color w:val="auto"/>
          <w:spacing w:val="-1"/>
          <w:sz w:val="22"/>
          <w:szCs w:val="22"/>
          <w:highlight w:val="none"/>
        </w:rPr>
        <w:t>（三）</w:t>
      </w:r>
      <w:r>
        <w:rPr>
          <w:rFonts w:hint="eastAsia" w:ascii="仿宋" w:hAnsi="仿宋" w:eastAsia="仿宋" w:cs="仿宋"/>
          <w:color w:val="auto"/>
          <w:spacing w:val="-2"/>
          <w:sz w:val="22"/>
          <w:szCs w:val="22"/>
          <w:highlight w:val="none"/>
        </w:rPr>
        <w:t>每周检查督导小区、学校、单位的覆盖率</w:t>
      </w:r>
      <w:r>
        <w:rPr>
          <w:rFonts w:hint="eastAsia" w:ascii="仿宋" w:hAnsi="仿宋" w:eastAsia="仿宋" w:cs="仿宋"/>
          <w:color w:val="auto"/>
          <w:spacing w:val="-2"/>
          <w:sz w:val="22"/>
          <w:szCs w:val="22"/>
          <w:highlight w:val="none"/>
          <w:lang w:val="en-US" w:eastAsia="zh-CN"/>
        </w:rPr>
        <w:t>≥</w:t>
      </w:r>
      <w:r>
        <w:rPr>
          <w:rFonts w:hint="eastAsia" w:ascii="仿宋" w:hAnsi="仿宋" w:eastAsia="仿宋" w:cs="仿宋"/>
          <w:color w:val="auto"/>
          <w:spacing w:val="-2"/>
          <w:sz w:val="22"/>
          <w:szCs w:val="22"/>
          <w:highlight w:val="none"/>
        </w:rPr>
        <w:t xml:space="preserve"> 90%，并有记录台账。</w:t>
      </w:r>
      <w:r>
        <w:rPr>
          <w:rFonts w:hint="eastAsia" w:ascii="仿宋" w:hAnsi="仿宋" w:eastAsia="仿宋" w:cs="仿宋"/>
          <w:color w:val="auto"/>
          <w:spacing w:val="-2"/>
          <w:sz w:val="22"/>
          <w:szCs w:val="22"/>
          <w:highlight w:val="none"/>
          <w:lang w:val="en-US" w:eastAsia="zh-CN"/>
        </w:rPr>
        <w:t>示范单位</w:t>
      </w:r>
      <w:r>
        <w:rPr>
          <w:rFonts w:hint="eastAsia" w:ascii="仿宋" w:hAnsi="仿宋" w:eastAsia="仿宋" w:cs="仿宋"/>
          <w:color w:val="auto"/>
          <w:spacing w:val="-2"/>
          <w:sz w:val="22"/>
          <w:szCs w:val="22"/>
          <w:highlight w:val="none"/>
          <w:lang w:val="en-US" w:eastAsia="en-US"/>
        </w:rPr>
        <w:t>民众满意度调查</w:t>
      </w:r>
      <w:r>
        <w:rPr>
          <w:rFonts w:hint="eastAsia" w:ascii="仿宋" w:hAnsi="仿宋" w:eastAsia="仿宋" w:cs="仿宋"/>
          <w:color w:val="auto"/>
          <w:spacing w:val="-2"/>
          <w:sz w:val="22"/>
          <w:szCs w:val="22"/>
          <w:highlight w:val="none"/>
          <w:lang w:val="en-US" w:eastAsia="zh-CN"/>
        </w:rPr>
        <w:t>≥</w:t>
      </w:r>
      <w:r>
        <w:rPr>
          <w:rFonts w:hint="eastAsia" w:ascii="仿宋" w:hAnsi="仿宋" w:eastAsia="仿宋" w:cs="仿宋"/>
          <w:color w:val="auto"/>
          <w:spacing w:val="-2"/>
          <w:sz w:val="22"/>
          <w:szCs w:val="22"/>
          <w:highlight w:val="none"/>
          <w:lang w:val="en-US" w:eastAsia="en-US"/>
        </w:rPr>
        <w:t>85%，并有记录</w:t>
      </w:r>
      <w:r>
        <w:rPr>
          <w:rFonts w:hint="eastAsia" w:ascii="仿宋" w:hAnsi="仿宋" w:eastAsia="仿宋" w:cs="仿宋"/>
          <w:color w:val="auto"/>
          <w:spacing w:val="-2"/>
          <w:sz w:val="22"/>
          <w:szCs w:val="22"/>
          <w:highlight w:val="none"/>
          <w:lang w:val="en-US" w:eastAsia="zh-CN"/>
        </w:rPr>
        <w:t>，调查问卷≥1000份</w:t>
      </w:r>
      <w:r>
        <w:rPr>
          <w:rFonts w:hint="eastAsia" w:ascii="仿宋" w:hAnsi="仿宋" w:eastAsia="仿宋" w:cs="仿宋"/>
          <w:color w:val="auto"/>
          <w:spacing w:val="-2"/>
          <w:sz w:val="22"/>
          <w:szCs w:val="22"/>
          <w:highlight w:val="none"/>
        </w:rPr>
        <w:t>。</w:t>
      </w:r>
    </w:p>
    <w:p w14:paraId="31BA1FC1">
      <w:pPr>
        <w:pageBreakBefore w:val="0"/>
        <w:kinsoku/>
        <w:overflowPunct/>
        <w:topLinePunct w:val="0"/>
        <w:bidi w:val="0"/>
        <w:spacing w:beforeAutospacing="0" w:afterAutospacing="0" w:line="440" w:lineRule="exact"/>
        <w:ind w:left="0" w:leftChars="0" w:right="0"/>
        <w:outlineLvl w:val="1"/>
        <w:rPr>
          <w:rFonts w:hint="eastAsia" w:ascii="仿宋" w:hAnsi="仿宋" w:eastAsia="仿宋" w:cs="仿宋"/>
          <w:color w:val="auto"/>
          <w:sz w:val="22"/>
          <w:szCs w:val="22"/>
          <w:highlight w:val="none"/>
        </w:rPr>
      </w:pPr>
      <w:bookmarkStart w:id="11" w:name="_Toc31897"/>
      <w:r>
        <w:rPr>
          <w:rFonts w:hint="eastAsia" w:ascii="仿宋" w:hAnsi="仿宋" w:eastAsia="仿宋" w:cs="仿宋"/>
          <w:color w:val="auto"/>
          <w:spacing w:val="-1"/>
          <w:sz w:val="22"/>
          <w:szCs w:val="22"/>
          <w:highlight w:val="none"/>
        </w:rPr>
        <w:t>六、双方权利、义务：</w:t>
      </w:r>
      <w:bookmarkEnd w:id="11"/>
    </w:p>
    <w:p w14:paraId="12C5EC01">
      <w:pPr>
        <w:pageBreakBefore w:val="0"/>
        <w:kinsoku/>
        <w:overflowPunct/>
        <w:topLinePunct w:val="0"/>
        <w:bidi w:val="0"/>
        <w:spacing w:beforeAutospacing="0" w:afterAutospacing="0" w:line="440" w:lineRule="exact"/>
        <w:ind w:left="0" w:leftChars="0" w:right="0" w:firstLine="491"/>
        <w:jc w:val="both"/>
        <w:outlineLvl w:val="2"/>
        <w:rPr>
          <w:rFonts w:hint="eastAsia" w:ascii="仿宋" w:hAnsi="仿宋" w:eastAsia="仿宋" w:cs="仿宋"/>
          <w:color w:val="auto"/>
          <w:spacing w:val="-2"/>
          <w:sz w:val="22"/>
          <w:szCs w:val="22"/>
          <w:highlight w:val="none"/>
        </w:rPr>
      </w:pPr>
      <w:bookmarkStart w:id="12" w:name="_Toc13241"/>
      <w:r>
        <w:rPr>
          <w:rFonts w:hint="eastAsia" w:ascii="仿宋" w:hAnsi="仿宋" w:eastAsia="仿宋" w:cs="仿宋"/>
          <w:color w:val="auto"/>
          <w:spacing w:val="-2"/>
          <w:sz w:val="22"/>
          <w:szCs w:val="22"/>
          <w:highlight w:val="none"/>
        </w:rPr>
        <w:t>（一）甲方权利、义务：</w:t>
      </w:r>
      <w:bookmarkEnd w:id="12"/>
    </w:p>
    <w:p w14:paraId="24C6941C">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1、甲方监督乙方做好垃圾分类工作，为乙方提供必要的工作便利。</w:t>
      </w:r>
    </w:p>
    <w:p w14:paraId="3DE5B9C9">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2、甲方对垃圾分类服务质量进行监督检查，并按照《富平县生活垃圾分类工作实施方案》</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rPr>
        <w:t>《富平县生活垃圾分类运行管理服务考核办法》</w:t>
      </w:r>
      <w:r>
        <w:rPr>
          <w:rFonts w:hint="eastAsia" w:ascii="仿宋" w:hAnsi="仿宋" w:eastAsia="仿宋" w:cs="仿宋"/>
          <w:color w:val="auto"/>
          <w:spacing w:val="-2"/>
          <w:sz w:val="22"/>
          <w:szCs w:val="22"/>
          <w:highlight w:val="none"/>
          <w:lang w:val="en-US" w:eastAsia="zh-CN"/>
        </w:rPr>
        <w:t>及招标文件、投标文件</w:t>
      </w:r>
      <w:r>
        <w:rPr>
          <w:rFonts w:hint="eastAsia" w:ascii="仿宋" w:hAnsi="仿宋" w:eastAsia="仿宋" w:cs="仿宋"/>
          <w:color w:val="auto"/>
          <w:spacing w:val="-2"/>
          <w:sz w:val="22"/>
          <w:szCs w:val="22"/>
          <w:highlight w:val="none"/>
        </w:rPr>
        <w:t>对乙方进行考核。</w:t>
      </w:r>
    </w:p>
    <w:p w14:paraId="13B5D4F7">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3、甲方有权对乙方人员宣传服务等进行监督检查。</w:t>
      </w:r>
    </w:p>
    <w:p w14:paraId="0E879014">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4、任何组织和个人对本服务范围内垃圾分类工作的考察学习必须经甲方批准同意，</w:t>
      </w:r>
    </w:p>
    <w:p w14:paraId="74D041C1">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乙方不得在未经甲方同意的情况下组织任何参观考察学习。</w:t>
      </w:r>
    </w:p>
    <w:p w14:paraId="3784E12D">
      <w:pPr>
        <w:pageBreakBefore w:val="0"/>
        <w:kinsoku/>
        <w:overflowPunct/>
        <w:topLinePunct w:val="0"/>
        <w:bidi w:val="0"/>
        <w:spacing w:beforeAutospacing="0" w:afterAutospacing="0" w:line="440" w:lineRule="exact"/>
        <w:ind w:left="0" w:leftChars="0" w:right="0" w:firstLine="491"/>
        <w:jc w:val="both"/>
        <w:outlineLvl w:val="2"/>
        <w:rPr>
          <w:rFonts w:hint="eastAsia" w:ascii="仿宋" w:hAnsi="仿宋" w:eastAsia="仿宋" w:cs="仿宋"/>
          <w:color w:val="auto"/>
          <w:spacing w:val="-2"/>
          <w:sz w:val="22"/>
          <w:szCs w:val="22"/>
          <w:highlight w:val="none"/>
        </w:rPr>
      </w:pPr>
      <w:bookmarkStart w:id="13" w:name="_Toc23237"/>
      <w:r>
        <w:rPr>
          <w:rFonts w:hint="eastAsia" w:ascii="仿宋" w:hAnsi="仿宋" w:eastAsia="仿宋" w:cs="仿宋"/>
          <w:color w:val="auto"/>
          <w:spacing w:val="-2"/>
          <w:sz w:val="22"/>
          <w:szCs w:val="22"/>
          <w:highlight w:val="none"/>
        </w:rPr>
        <w:t>（二）乙方权利、义务：</w:t>
      </w:r>
      <w:bookmarkEnd w:id="13"/>
    </w:p>
    <w:p w14:paraId="7BC2510A">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1、乙方应保证在签订本合同时，已经获得履行本合同的相关资质。</w:t>
      </w:r>
    </w:p>
    <w:p w14:paraId="5FC58D85">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2、乙方应服从甲方的监督、管理，切实采取有效措施保证本项目服务区域的垃圾分类工作标准。</w:t>
      </w:r>
    </w:p>
    <w:p w14:paraId="0BACC803">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3、乙方必须按照合同约定安排人员上岗，并向甲方提供人员名册和网格化管理图，遇有人员变化时应及时变更，并向甲方提供备案。</w:t>
      </w:r>
    </w:p>
    <w:p w14:paraId="3D1AF810">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lang w:eastAsia="zh-CN"/>
        </w:rPr>
      </w:pPr>
      <w:r>
        <w:rPr>
          <w:rFonts w:hint="eastAsia" w:ascii="仿宋" w:hAnsi="仿宋" w:eastAsia="仿宋" w:cs="仿宋"/>
          <w:color w:val="auto"/>
          <w:spacing w:val="-2"/>
          <w:sz w:val="22"/>
          <w:szCs w:val="22"/>
          <w:highlight w:val="none"/>
        </w:rPr>
        <w:t>4、乙方使用的工作人员必须身体健康、仪容端正、品德良好、无违法犯罪记录， 并按照《劳动合同法》及《劳动法》要求签订用工合同及用工。男年龄不超过60岁， 女年龄不超过55岁，</w:t>
      </w:r>
      <w:r>
        <w:rPr>
          <w:rFonts w:hint="eastAsia" w:ascii="仿宋" w:hAnsi="仿宋" w:eastAsia="仿宋" w:cs="仿宋"/>
          <w:color w:val="auto"/>
          <w:spacing w:val="-2"/>
          <w:sz w:val="22"/>
          <w:szCs w:val="22"/>
          <w:highlight w:val="none"/>
          <w:lang w:val="en-US" w:eastAsia="zh-CN"/>
        </w:rPr>
        <w:t>乙方应为工作人员依法购买医保等相关的</w:t>
      </w:r>
      <w:r>
        <w:rPr>
          <w:rFonts w:hint="eastAsia" w:ascii="仿宋" w:hAnsi="仿宋" w:eastAsia="仿宋" w:cs="仿宋"/>
          <w:color w:val="auto"/>
          <w:spacing w:val="-2"/>
          <w:sz w:val="22"/>
          <w:szCs w:val="22"/>
          <w:highlight w:val="none"/>
        </w:rPr>
        <w:t>保险、统筹等保障</w:t>
      </w:r>
      <w:r>
        <w:rPr>
          <w:rFonts w:hint="eastAsia" w:ascii="仿宋" w:hAnsi="仿宋" w:eastAsia="仿宋" w:cs="仿宋"/>
          <w:color w:val="auto"/>
          <w:spacing w:val="-2"/>
          <w:sz w:val="22"/>
          <w:szCs w:val="22"/>
          <w:highlight w:val="none"/>
          <w:lang w:eastAsia="zh-CN"/>
        </w:rPr>
        <w:t>。</w:t>
      </w:r>
    </w:p>
    <w:p w14:paraId="170A8D0B">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FF0000"/>
          <w:spacing w:val="-2"/>
          <w:sz w:val="22"/>
          <w:szCs w:val="22"/>
          <w:highlight w:val="none"/>
        </w:rPr>
      </w:pPr>
      <w:r>
        <w:rPr>
          <w:rFonts w:hint="eastAsia" w:ascii="仿宋" w:hAnsi="仿宋" w:eastAsia="仿宋" w:cs="仿宋"/>
          <w:color w:val="auto"/>
          <w:spacing w:val="-2"/>
          <w:sz w:val="22"/>
          <w:szCs w:val="22"/>
          <w:highlight w:val="none"/>
        </w:rPr>
        <w:t>5、乙方必须加强工作人员安全生产教育管理，全年安全教育培训</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rPr>
        <w:t>12次。乙方必须遵循安全作业和文明作业的规定，在履行本合同的过程中，采取严格的安全防范措施。乙方负责服务</w:t>
      </w:r>
      <w:r>
        <w:rPr>
          <w:rFonts w:hint="eastAsia" w:ascii="仿宋" w:hAnsi="仿宋" w:eastAsia="仿宋" w:cs="仿宋"/>
          <w:color w:val="auto"/>
          <w:spacing w:val="-2"/>
          <w:sz w:val="22"/>
          <w:szCs w:val="22"/>
          <w:highlight w:val="none"/>
          <w:lang w:val="en-US" w:eastAsia="zh-CN"/>
        </w:rPr>
        <w:t>工作</w:t>
      </w:r>
      <w:r>
        <w:rPr>
          <w:rFonts w:hint="eastAsia" w:ascii="仿宋" w:hAnsi="仿宋" w:eastAsia="仿宋" w:cs="仿宋"/>
          <w:color w:val="auto"/>
          <w:spacing w:val="-2"/>
          <w:sz w:val="22"/>
          <w:szCs w:val="22"/>
          <w:highlight w:val="none"/>
        </w:rPr>
        <w:t>全过程的安全，发生任何事故均与甲方无关。在工作过程中出现的任何不安全事故等甲方不负任何责任，均由乙方承担，因此给甲方造成的一切损失，由乙方赔偿。</w:t>
      </w:r>
    </w:p>
    <w:p w14:paraId="37BC3AEF">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6、乙方必须按时向工作人员发放月工资及劳保、福利等费用，若出现因拖延、拖欠人员劳务费用的投诉、上访事件，与甲方无关，由乙方全权处理，因此引起的所有后果由乙方承担。甲方根据事件严重程度，有权与乙方终止合同。</w:t>
      </w:r>
    </w:p>
    <w:p w14:paraId="79BE0618">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7、乙方应对工作人员进行相应的岗位培训。定期对人员进行岗位知识、工作技能、应急预案等培训，全年业务培训工作不得少于12次。</w:t>
      </w:r>
    </w:p>
    <w:p w14:paraId="7C59FCEE">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8、乙方必须加强对所辖区域的垃圾分类业态进行日常巡视检查，及时解决处理所存在的问题，乙方向甲方提供各个岗位人员工作时间，以备甲方检查考核。</w:t>
      </w:r>
    </w:p>
    <w:p w14:paraId="300FC6B2">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9、乙方不得将承包事项再转包。</w:t>
      </w:r>
    </w:p>
    <w:p w14:paraId="1C7D7DE8">
      <w:pPr>
        <w:pageBreakBefore w:val="0"/>
        <w:kinsoku/>
        <w:overflowPunct/>
        <w:topLinePunct w:val="0"/>
        <w:bidi w:val="0"/>
        <w:spacing w:beforeAutospacing="0" w:afterAutospacing="0" w:line="440" w:lineRule="exact"/>
        <w:ind w:left="0" w:leftChars="0" w:right="0"/>
        <w:outlineLvl w:val="1"/>
        <w:rPr>
          <w:rFonts w:hint="eastAsia" w:ascii="仿宋" w:hAnsi="仿宋" w:eastAsia="仿宋" w:cs="仿宋"/>
          <w:color w:val="auto"/>
          <w:sz w:val="22"/>
          <w:szCs w:val="22"/>
          <w:highlight w:val="none"/>
        </w:rPr>
      </w:pPr>
      <w:bookmarkStart w:id="14" w:name="_Toc23756"/>
      <w:r>
        <w:rPr>
          <w:rFonts w:hint="eastAsia" w:ascii="仿宋" w:hAnsi="仿宋" w:eastAsia="仿宋" w:cs="仿宋"/>
          <w:color w:val="auto"/>
          <w:spacing w:val="-1"/>
          <w:sz w:val="22"/>
          <w:szCs w:val="22"/>
          <w:highlight w:val="none"/>
        </w:rPr>
        <w:t>七、违约责任：</w:t>
      </w:r>
      <w:bookmarkEnd w:id="14"/>
    </w:p>
    <w:p w14:paraId="31D39EEC">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1、如果乙方没有按照合同规定的时间提供服务，每延误一周赔偿费按合同价款的 0.5％计收，直至提供服务为止。误期赔偿费的最高限额为合同总价格的百分之五（5％）。</w:t>
      </w:r>
    </w:p>
    <w:p w14:paraId="17A642A1">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r>
        <w:rPr>
          <w:rFonts w:hint="eastAsia" w:ascii="仿宋" w:hAnsi="仿宋" w:eastAsia="仿宋" w:cs="仿宋"/>
          <w:color w:val="auto"/>
          <w:spacing w:val="-2"/>
          <w:sz w:val="22"/>
          <w:szCs w:val="22"/>
          <w:highlight w:val="none"/>
          <w:lang w:val="en-US" w:eastAsia="zh-CN"/>
        </w:rPr>
        <w:t>乙方出现下列情形之一的</w:t>
      </w:r>
      <w:r>
        <w:rPr>
          <w:rFonts w:hint="eastAsia" w:ascii="仿宋" w:hAnsi="仿宋" w:eastAsia="仿宋" w:cs="仿宋"/>
          <w:color w:val="auto"/>
          <w:spacing w:val="-2"/>
          <w:sz w:val="22"/>
          <w:szCs w:val="22"/>
          <w:highlight w:val="none"/>
        </w:rPr>
        <w:t>，甲方可向乙方发出书面违约通知书，提出终止部分或全部合同：</w:t>
      </w:r>
    </w:p>
    <w:p w14:paraId="54B222DB">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（1）乙方未能在合同规定的期限内提供全部服务</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lang w:val="en-US" w:eastAsia="zh-CN"/>
        </w:rPr>
        <w:t>民众满意度不达标超过三次</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lang w:val="en-US" w:eastAsia="zh-CN"/>
        </w:rPr>
        <w:t>2</w:t>
      </w:r>
      <w:r>
        <w:rPr>
          <w:rFonts w:hint="eastAsia" w:ascii="仿宋" w:hAnsi="仿宋" w:eastAsia="仿宋" w:cs="仿宋"/>
          <w:color w:val="auto"/>
          <w:spacing w:val="-2"/>
          <w:sz w:val="22"/>
          <w:szCs w:val="22"/>
          <w:highlight w:val="none"/>
          <w:lang w:eastAsia="zh-CN"/>
        </w:rPr>
        <w:t>）</w:t>
      </w:r>
      <w:r>
        <w:rPr>
          <w:rFonts w:hint="eastAsia" w:ascii="仿宋" w:hAnsi="仿宋" w:eastAsia="仿宋" w:cs="仿宋"/>
          <w:color w:val="auto"/>
          <w:spacing w:val="-2"/>
          <w:sz w:val="22"/>
          <w:szCs w:val="22"/>
          <w:highlight w:val="none"/>
        </w:rPr>
        <w:t>误期赔偿费达到最高限额。</w:t>
      </w:r>
      <w:r>
        <w:rPr>
          <w:rFonts w:hint="eastAsia" w:ascii="仿宋" w:hAnsi="仿宋" w:eastAsia="仿宋" w:cs="仿宋"/>
          <w:color w:val="auto"/>
          <w:spacing w:val="-2"/>
          <w:sz w:val="22"/>
          <w:szCs w:val="22"/>
          <w:highlight w:val="none"/>
          <w:lang w:val="en-US" w:eastAsia="zh-CN"/>
        </w:rPr>
        <w:t>（3）</w:t>
      </w:r>
      <w:r>
        <w:rPr>
          <w:rFonts w:hint="eastAsia" w:ascii="仿宋" w:hAnsi="仿宋" w:eastAsia="仿宋" w:cs="仿宋"/>
          <w:color w:val="auto"/>
          <w:spacing w:val="-2"/>
          <w:sz w:val="22"/>
          <w:szCs w:val="22"/>
          <w:highlight w:val="none"/>
        </w:rPr>
        <w:t>如果乙方未能履行合同规定的其它任何义务。</w:t>
      </w:r>
    </w:p>
    <w:p w14:paraId="799BD47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40" w:lineRule="exact"/>
        <w:ind w:left="0" w:leftChars="0" w:right="0" w:firstLine="0" w:firstLineChars="0"/>
        <w:textAlignment w:val="auto"/>
        <w:outlineLvl w:val="1"/>
        <w:rPr>
          <w:rFonts w:hint="eastAsia" w:ascii="仿宋" w:hAnsi="仿宋" w:eastAsia="仿宋" w:cs="仿宋"/>
          <w:color w:val="auto"/>
          <w:sz w:val="22"/>
          <w:szCs w:val="22"/>
          <w:highlight w:val="none"/>
        </w:rPr>
      </w:pPr>
      <w:bookmarkStart w:id="15" w:name="_Toc7143"/>
      <w:r>
        <w:rPr>
          <w:rFonts w:hint="eastAsia" w:ascii="仿宋" w:hAnsi="仿宋" w:eastAsia="仿宋" w:cs="仿宋"/>
          <w:color w:val="auto"/>
          <w:spacing w:val="-1"/>
          <w:sz w:val="22"/>
          <w:szCs w:val="22"/>
          <w:highlight w:val="none"/>
        </w:rPr>
        <w:t>八、争议解决方式：</w:t>
      </w:r>
      <w:bookmarkEnd w:id="15"/>
    </w:p>
    <w:p w14:paraId="765D4752">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right="0" w:firstLine="436" w:firstLineChars="200"/>
        <w:textAlignment w:val="auto"/>
        <w:rPr>
          <w:rFonts w:hint="eastAsia" w:ascii="仿宋" w:hAnsi="仿宋" w:eastAsia="仿宋" w:cs="仿宋"/>
          <w:color w:val="auto"/>
          <w:spacing w:val="-1"/>
          <w:sz w:val="22"/>
          <w:szCs w:val="22"/>
          <w:highlight w:val="none"/>
        </w:rPr>
      </w:pPr>
      <w:r>
        <w:rPr>
          <w:rFonts w:hint="eastAsia" w:ascii="仿宋" w:hAnsi="仿宋" w:eastAsia="仿宋" w:cs="仿宋"/>
          <w:color w:val="auto"/>
          <w:spacing w:val="-1"/>
          <w:sz w:val="22"/>
          <w:szCs w:val="22"/>
          <w:highlight w:val="none"/>
        </w:rPr>
        <w:t>因执行本合同所发生的或与本合同有关的一切争议,双方应通过友好协商解决。协商不成的向合同履行地人民法院提起诉讼。</w:t>
      </w:r>
    </w:p>
    <w:p w14:paraId="571FDD13">
      <w:pPr>
        <w:pageBreakBefore w:val="0"/>
        <w:kinsoku/>
        <w:overflowPunct/>
        <w:topLinePunct w:val="0"/>
        <w:bidi w:val="0"/>
        <w:spacing w:beforeAutospacing="0" w:afterAutospacing="0" w:line="440" w:lineRule="exact"/>
        <w:ind w:right="0"/>
        <w:jc w:val="both"/>
        <w:outlineLvl w:val="2"/>
        <w:rPr>
          <w:rFonts w:hint="eastAsia" w:ascii="仿宋" w:hAnsi="仿宋" w:eastAsia="仿宋" w:cs="仿宋"/>
          <w:color w:val="auto"/>
          <w:spacing w:val="-2"/>
          <w:sz w:val="22"/>
          <w:szCs w:val="22"/>
          <w:highlight w:val="none"/>
        </w:rPr>
      </w:pPr>
      <w:bookmarkStart w:id="16" w:name="_Toc20215"/>
      <w:r>
        <w:rPr>
          <w:rFonts w:hint="eastAsia" w:ascii="仿宋" w:hAnsi="仿宋" w:eastAsia="仿宋" w:cs="仿宋"/>
          <w:color w:val="auto"/>
          <w:spacing w:val="-2"/>
          <w:sz w:val="22"/>
          <w:szCs w:val="22"/>
          <w:highlight w:val="none"/>
        </w:rPr>
        <w:t>第九条、合同生效及其它</w:t>
      </w:r>
      <w:bookmarkEnd w:id="16"/>
    </w:p>
    <w:p w14:paraId="7AB38ACF">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1、以下文件属于本合同的组成部分，并与本合同具有同等法律效力：</w:t>
      </w:r>
    </w:p>
    <w:p w14:paraId="141A23A9">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合同条款附件</w:t>
      </w:r>
    </w:p>
    <w:p w14:paraId="2FE57851">
      <w:pPr>
        <w:pageBreakBefore w:val="0"/>
        <w:kinsoku/>
        <w:overflowPunct/>
        <w:topLinePunct w:val="0"/>
        <w:bidi w:val="0"/>
        <w:spacing w:beforeAutospacing="0" w:afterAutospacing="0" w:line="440" w:lineRule="exact"/>
        <w:ind w:left="0" w:leftChars="0" w:right="0" w:firstLine="491"/>
        <w:jc w:val="both"/>
        <w:outlineLvl w:val="0"/>
        <w:rPr>
          <w:rFonts w:hint="eastAsia" w:ascii="仿宋" w:hAnsi="仿宋" w:eastAsia="仿宋" w:cs="仿宋"/>
          <w:color w:val="auto"/>
          <w:spacing w:val="-2"/>
          <w:sz w:val="22"/>
          <w:szCs w:val="22"/>
          <w:highlight w:val="none"/>
          <w:lang w:eastAsia="zh-CN"/>
        </w:rPr>
      </w:pPr>
      <w:bookmarkStart w:id="17" w:name="_Toc25807"/>
      <w:r>
        <w:rPr>
          <w:rFonts w:hint="eastAsia" w:ascii="仿宋" w:hAnsi="仿宋" w:eastAsia="仿宋" w:cs="仿宋"/>
          <w:color w:val="auto"/>
          <w:spacing w:val="-2"/>
          <w:sz w:val="22"/>
          <w:szCs w:val="22"/>
          <w:highlight w:val="none"/>
        </w:rPr>
        <w:t>附件 1－采购服务</w:t>
      </w:r>
      <w:r>
        <w:rPr>
          <w:rFonts w:hint="eastAsia" w:ascii="仿宋" w:hAnsi="仿宋" w:eastAsia="仿宋" w:cs="仿宋"/>
          <w:color w:val="auto"/>
          <w:spacing w:val="-2"/>
          <w:sz w:val="22"/>
          <w:szCs w:val="22"/>
          <w:highlight w:val="none"/>
          <w:lang w:val="en-US" w:eastAsia="zh-CN"/>
        </w:rPr>
        <w:t>标准</w:t>
      </w:r>
      <w:bookmarkEnd w:id="17"/>
    </w:p>
    <w:p w14:paraId="2739FA3B">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lang w:val="en-US" w:eastAsia="zh-CN"/>
        </w:rPr>
      </w:pPr>
      <w:r>
        <w:rPr>
          <w:rFonts w:hint="eastAsia" w:ascii="仿宋" w:hAnsi="仿宋" w:eastAsia="仿宋" w:cs="仿宋"/>
          <w:color w:val="auto"/>
          <w:spacing w:val="-2"/>
          <w:sz w:val="22"/>
          <w:szCs w:val="22"/>
          <w:highlight w:val="none"/>
        </w:rPr>
        <w:t>附件 2－</w:t>
      </w:r>
      <w:r>
        <w:rPr>
          <w:rFonts w:hint="eastAsia" w:ascii="仿宋" w:hAnsi="仿宋" w:eastAsia="仿宋" w:cs="仿宋"/>
          <w:color w:val="auto"/>
          <w:spacing w:val="-2"/>
          <w:sz w:val="22"/>
          <w:szCs w:val="22"/>
          <w:highlight w:val="none"/>
          <w:lang w:val="en-US" w:eastAsia="zh-CN"/>
        </w:rPr>
        <w:t>示范单位名单</w:t>
      </w:r>
    </w:p>
    <w:p w14:paraId="71DA4336">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附件 3－考核办法，管理工作考核表</w:t>
      </w:r>
    </w:p>
    <w:p w14:paraId="0609E188">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中标通知书</w:t>
      </w:r>
    </w:p>
    <w:p w14:paraId="143E9A7A">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招标文件</w:t>
      </w:r>
    </w:p>
    <w:p w14:paraId="2B8CC4D4">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投标文件</w:t>
      </w:r>
    </w:p>
    <w:p w14:paraId="60D6ED72">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2、补充说明：在合同履行过程中，如有其它未尽事项，甲乙双方共同协商达成一致后签订补充合同。</w:t>
      </w:r>
    </w:p>
    <w:p w14:paraId="173E1DE1">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3、本合同正本一式伍份，甲方执贰份、乙方执贰份，富平县财政局备案壹份。</w:t>
      </w:r>
    </w:p>
    <w:p w14:paraId="39BA9525">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4、合同由甲乙双方共同签字盖章， 自甲乙双方共同签字盖章之日起生效。</w:t>
      </w:r>
    </w:p>
    <w:p w14:paraId="1DFE3B6E">
      <w:pPr>
        <w:pageBreakBefore w:val="0"/>
        <w:kinsoku/>
        <w:overflowPunct/>
        <w:topLinePunct w:val="0"/>
        <w:bidi w:val="0"/>
        <w:spacing w:beforeAutospacing="0" w:afterAutospacing="0" w:line="440" w:lineRule="exact"/>
        <w:ind w:left="0" w:leftChars="0" w:right="0" w:firstLine="491"/>
        <w:jc w:val="both"/>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br w:type="page"/>
      </w:r>
      <w:r>
        <w:rPr>
          <w:rFonts w:hint="eastAsia" w:ascii="仿宋" w:hAnsi="仿宋" w:eastAsia="仿宋" w:cs="仿宋"/>
          <w:color w:val="auto"/>
          <w:spacing w:val="-2"/>
          <w:sz w:val="22"/>
          <w:szCs w:val="22"/>
          <w:highlight w:val="none"/>
        </w:rPr>
        <w:t>（此后无正文）</w:t>
      </w:r>
    </w:p>
    <w:p w14:paraId="2656B2D6">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2"/>
          <w:szCs w:val="22"/>
          <w:highlight w:val="none"/>
        </w:rPr>
      </w:pPr>
    </w:p>
    <w:p w14:paraId="4981E40A">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签章页：</w:t>
      </w:r>
    </w:p>
    <w:tbl>
      <w:tblPr>
        <w:tblStyle w:val="4"/>
        <w:tblW w:w="494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4172"/>
      </w:tblGrid>
      <w:tr w14:paraId="29228B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24" w:type="pct"/>
            <w:noWrap/>
            <w:vAlign w:val="center"/>
          </w:tcPr>
          <w:p w14:paraId="7B4D9881">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甲  方</w:t>
            </w:r>
          </w:p>
        </w:tc>
        <w:tc>
          <w:tcPr>
            <w:tcW w:w="2475" w:type="pct"/>
            <w:noWrap/>
            <w:vAlign w:val="center"/>
          </w:tcPr>
          <w:p w14:paraId="4A9BE5C1">
            <w:pPr>
              <w:pageBreakBefore w:val="0"/>
              <w:kinsoku/>
              <w:overflowPunct/>
              <w:topLinePunct w:val="0"/>
              <w:bidi w:val="0"/>
              <w:spacing w:beforeAutospacing="0" w:afterAutospacing="0" w:line="440" w:lineRule="exact"/>
              <w:ind w:left="0" w:leftChars="0" w:right="0"/>
              <w:jc w:val="center"/>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乙  方</w:t>
            </w:r>
          </w:p>
        </w:tc>
      </w:tr>
      <w:tr w14:paraId="41ACEC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5C363E9D">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（公章）</w:t>
            </w:r>
          </w:p>
        </w:tc>
        <w:tc>
          <w:tcPr>
            <w:tcW w:w="2475" w:type="pct"/>
            <w:noWrap/>
            <w:vAlign w:val="center"/>
          </w:tcPr>
          <w:p w14:paraId="7BF6BAFE">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（公章）</w:t>
            </w:r>
          </w:p>
        </w:tc>
      </w:tr>
      <w:tr w14:paraId="69C023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2677D730">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地址：</w:t>
            </w:r>
          </w:p>
        </w:tc>
        <w:tc>
          <w:tcPr>
            <w:tcW w:w="2475" w:type="pct"/>
            <w:noWrap/>
            <w:vAlign w:val="center"/>
          </w:tcPr>
          <w:p w14:paraId="78F1E34A">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地址：</w:t>
            </w:r>
          </w:p>
        </w:tc>
      </w:tr>
      <w:tr w14:paraId="18C3B1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41A4BFF5">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邮编：</w:t>
            </w:r>
          </w:p>
        </w:tc>
        <w:tc>
          <w:tcPr>
            <w:tcW w:w="2475" w:type="pct"/>
            <w:noWrap/>
            <w:vAlign w:val="center"/>
          </w:tcPr>
          <w:p w14:paraId="5688E270">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邮编：</w:t>
            </w:r>
          </w:p>
        </w:tc>
      </w:tr>
      <w:tr w14:paraId="28AC8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053BF25B">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法定代表人：</w:t>
            </w:r>
          </w:p>
        </w:tc>
        <w:tc>
          <w:tcPr>
            <w:tcW w:w="2475" w:type="pct"/>
            <w:noWrap/>
            <w:vAlign w:val="center"/>
          </w:tcPr>
          <w:p w14:paraId="73AE5B10">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法定代表人：</w:t>
            </w:r>
          </w:p>
        </w:tc>
      </w:tr>
      <w:tr w14:paraId="6751EA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4E1B7682">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负责人：</w:t>
            </w:r>
          </w:p>
        </w:tc>
        <w:tc>
          <w:tcPr>
            <w:tcW w:w="2475" w:type="pct"/>
            <w:noWrap/>
            <w:vAlign w:val="center"/>
          </w:tcPr>
          <w:p w14:paraId="5EABA616">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负责人：</w:t>
            </w:r>
          </w:p>
        </w:tc>
      </w:tr>
      <w:tr w14:paraId="1A01F1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32F2F63C">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电话：</w:t>
            </w:r>
          </w:p>
        </w:tc>
        <w:tc>
          <w:tcPr>
            <w:tcW w:w="2475" w:type="pct"/>
            <w:noWrap/>
            <w:vAlign w:val="center"/>
          </w:tcPr>
          <w:p w14:paraId="5813102A">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电话：</w:t>
            </w:r>
          </w:p>
        </w:tc>
      </w:tr>
      <w:tr w14:paraId="32DAF3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7119A827">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p>
        </w:tc>
        <w:tc>
          <w:tcPr>
            <w:tcW w:w="2475" w:type="pct"/>
            <w:noWrap/>
            <w:vAlign w:val="center"/>
          </w:tcPr>
          <w:p w14:paraId="227A28DB">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开户银行：</w:t>
            </w:r>
          </w:p>
        </w:tc>
      </w:tr>
      <w:tr w14:paraId="3E348F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7605D1D9">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p>
        </w:tc>
        <w:tc>
          <w:tcPr>
            <w:tcW w:w="2475" w:type="pct"/>
            <w:noWrap/>
            <w:vAlign w:val="center"/>
          </w:tcPr>
          <w:p w14:paraId="6950167C">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账号：</w:t>
            </w:r>
          </w:p>
        </w:tc>
      </w:tr>
      <w:tr w14:paraId="61A8C6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34755B5B">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日期：   年   月   日</w:t>
            </w:r>
          </w:p>
        </w:tc>
        <w:tc>
          <w:tcPr>
            <w:tcW w:w="2475" w:type="pct"/>
            <w:noWrap/>
            <w:vAlign w:val="center"/>
          </w:tcPr>
          <w:p w14:paraId="16D24729">
            <w:pPr>
              <w:pageBreakBefore w:val="0"/>
              <w:kinsoku/>
              <w:overflowPunct/>
              <w:topLinePunct w:val="0"/>
              <w:bidi w:val="0"/>
              <w:spacing w:beforeAutospacing="0" w:afterAutospacing="0" w:line="440" w:lineRule="exact"/>
              <w:ind w:left="0" w:leftChars="0" w:right="0"/>
              <w:rPr>
                <w:rFonts w:hint="eastAsia" w:ascii="仿宋" w:hAnsi="仿宋" w:eastAsia="仿宋" w:cs="仿宋"/>
                <w:color w:val="auto"/>
                <w:kern w:val="0"/>
                <w:sz w:val="22"/>
                <w:szCs w:val="22"/>
                <w:highlight w:val="none"/>
                <w:lang w:bidi="ar"/>
              </w:rPr>
            </w:pPr>
            <w:r>
              <w:rPr>
                <w:rFonts w:hint="eastAsia" w:ascii="仿宋" w:hAnsi="仿宋" w:eastAsia="仿宋" w:cs="仿宋"/>
                <w:color w:val="auto"/>
                <w:kern w:val="0"/>
                <w:sz w:val="22"/>
                <w:szCs w:val="22"/>
                <w:highlight w:val="none"/>
                <w:lang w:bidi="ar"/>
              </w:rPr>
              <w:t>日期：   年   月   日</w:t>
            </w:r>
          </w:p>
        </w:tc>
      </w:tr>
    </w:tbl>
    <w:p w14:paraId="1FA315C8">
      <w:pP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br w:type="page"/>
      </w:r>
    </w:p>
    <w:p w14:paraId="310A637E">
      <w:pPr>
        <w:pStyle w:val="3"/>
        <w:ind w:left="0" w:leftChars="0" w:firstLine="442" w:firstLineChars="200"/>
        <w:jc w:val="both"/>
        <w:rPr>
          <w:rFonts w:hint="eastAsia" w:ascii="方正仿宋_GB2312" w:hAnsi="方正仿宋_GB2312" w:eastAsia="方正仿宋_GB2312" w:cs="方正仿宋_GB2312"/>
          <w:b/>
          <w:bCs/>
          <w:color w:val="auto"/>
          <w:sz w:val="22"/>
          <w:szCs w:val="22"/>
          <w:highlight w:val="none"/>
          <w:lang w:val="en-US" w:eastAsia="zh-CN"/>
        </w:rPr>
      </w:pPr>
      <w:r>
        <w:rPr>
          <w:rFonts w:hint="eastAsia" w:ascii="方正仿宋_GB2312" w:hAnsi="方正仿宋_GB2312" w:eastAsia="方正仿宋_GB2312" w:cs="方正仿宋_GB2312"/>
          <w:b/>
          <w:bCs/>
          <w:color w:val="auto"/>
          <w:sz w:val="22"/>
          <w:szCs w:val="22"/>
          <w:highlight w:val="none"/>
          <w:lang w:val="en-US" w:eastAsia="zh-CN"/>
        </w:rPr>
        <w:t xml:space="preserve">附件1 </w:t>
      </w:r>
    </w:p>
    <w:p w14:paraId="63057751">
      <w:pPr>
        <w:pStyle w:val="3"/>
        <w:ind w:left="0" w:leftChars="0" w:firstLine="0" w:firstLineChars="0"/>
        <w:jc w:val="center"/>
        <w:rPr>
          <w:rFonts w:hint="eastAsia" w:ascii="方正仿宋_GB2312" w:hAnsi="方正仿宋_GB2312" w:eastAsia="方正仿宋_GB2312" w:cs="方正仿宋_GB2312"/>
          <w:b/>
          <w:bCs/>
          <w:color w:val="auto"/>
          <w:sz w:val="22"/>
          <w:szCs w:val="22"/>
          <w:highlight w:val="none"/>
          <w:lang w:val="en-US" w:eastAsia="zh-CN"/>
        </w:rPr>
      </w:pPr>
      <w:r>
        <w:rPr>
          <w:rFonts w:hint="eastAsia" w:ascii="方正仿宋_GB2312" w:hAnsi="方正仿宋_GB2312" w:eastAsia="方正仿宋_GB2312" w:cs="方正仿宋_GB2312"/>
          <w:b/>
          <w:bCs/>
          <w:color w:val="auto"/>
          <w:sz w:val="22"/>
          <w:szCs w:val="22"/>
          <w:highlight w:val="none"/>
          <w:lang w:val="en-US" w:eastAsia="zh-CN"/>
        </w:rPr>
        <w:t>130家示范单位工作目标</w:t>
      </w:r>
    </w:p>
    <w:tbl>
      <w:tblPr>
        <w:tblStyle w:val="5"/>
        <w:tblpPr w:leftFromText="180" w:rightFromText="180" w:vertAnchor="text" w:horzAnchor="page" w:tblpXSpec="center" w:tblpY="312"/>
        <w:tblOverlap w:val="never"/>
        <w:tblW w:w="9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395"/>
        <w:gridCol w:w="2145"/>
        <w:gridCol w:w="990"/>
        <w:gridCol w:w="1035"/>
        <w:gridCol w:w="1422"/>
        <w:gridCol w:w="1458"/>
      </w:tblGrid>
      <w:tr w14:paraId="51DAC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noWrap w:val="0"/>
            <w:vAlign w:val="center"/>
          </w:tcPr>
          <w:p w14:paraId="5030FEDC">
            <w:pPr>
              <w:autoSpaceDE w:val="0"/>
              <w:autoSpaceDN w:val="0"/>
              <w:spacing w:line="360" w:lineRule="auto"/>
              <w:ind w:right="99"/>
              <w:jc w:val="center"/>
              <w:rPr>
                <w:rFonts w:hint="eastAsia" w:ascii="仿宋" w:hAnsi="仿宋" w:eastAsia="仿宋" w:cs="仿宋"/>
                <w:b/>
                <w:bCs/>
                <w:color w:val="auto"/>
                <w:kern w:val="0"/>
                <w:sz w:val="22"/>
                <w:szCs w:val="22"/>
                <w:highlight w:val="none"/>
                <w:lang w:val="en-US" w:bidi="zh-CN"/>
              </w:rPr>
            </w:pPr>
            <w:r>
              <w:rPr>
                <w:rFonts w:hint="eastAsia" w:ascii="仿宋" w:hAnsi="仿宋" w:eastAsia="仿宋" w:cs="仿宋"/>
                <w:b/>
                <w:bCs/>
                <w:color w:val="auto"/>
                <w:kern w:val="0"/>
                <w:sz w:val="22"/>
                <w:szCs w:val="22"/>
                <w:highlight w:val="none"/>
                <w:lang w:val="en-US" w:bidi="zh-CN"/>
              </w:rPr>
              <w:t>序号</w:t>
            </w:r>
          </w:p>
        </w:tc>
        <w:tc>
          <w:tcPr>
            <w:tcW w:w="1395" w:type="dxa"/>
            <w:noWrap w:val="0"/>
            <w:vAlign w:val="center"/>
          </w:tcPr>
          <w:p w14:paraId="209C08C2">
            <w:pPr>
              <w:autoSpaceDE w:val="0"/>
              <w:autoSpaceDN w:val="0"/>
              <w:spacing w:line="360" w:lineRule="auto"/>
              <w:ind w:right="99"/>
              <w:jc w:val="center"/>
              <w:rPr>
                <w:rFonts w:hint="eastAsia" w:ascii="仿宋" w:hAnsi="仿宋" w:eastAsia="仿宋" w:cs="仿宋"/>
                <w:b/>
                <w:bCs/>
                <w:color w:val="auto"/>
                <w:kern w:val="0"/>
                <w:sz w:val="22"/>
                <w:szCs w:val="22"/>
                <w:highlight w:val="none"/>
                <w:lang w:val="zh-CN" w:bidi="zh-CN"/>
              </w:rPr>
            </w:pPr>
            <w:r>
              <w:rPr>
                <w:rFonts w:hint="eastAsia" w:ascii="仿宋" w:hAnsi="仿宋" w:eastAsia="仿宋" w:cs="仿宋"/>
                <w:b/>
                <w:bCs/>
                <w:color w:val="auto"/>
                <w:kern w:val="0"/>
                <w:sz w:val="22"/>
                <w:szCs w:val="22"/>
                <w:highlight w:val="none"/>
                <w:lang w:val="zh-CN" w:bidi="zh-CN"/>
              </w:rPr>
              <w:t>单位名称</w:t>
            </w:r>
          </w:p>
        </w:tc>
        <w:tc>
          <w:tcPr>
            <w:tcW w:w="2145" w:type="dxa"/>
            <w:noWrap w:val="0"/>
            <w:vAlign w:val="center"/>
          </w:tcPr>
          <w:p w14:paraId="7BECFDEC">
            <w:pPr>
              <w:autoSpaceDE w:val="0"/>
              <w:autoSpaceDN w:val="0"/>
              <w:spacing w:line="360" w:lineRule="auto"/>
              <w:ind w:right="99"/>
              <w:jc w:val="center"/>
              <w:rPr>
                <w:rFonts w:hint="eastAsia" w:ascii="仿宋" w:hAnsi="仿宋" w:eastAsia="仿宋" w:cs="仿宋"/>
                <w:b/>
                <w:bCs/>
                <w:color w:val="auto"/>
                <w:kern w:val="0"/>
                <w:sz w:val="22"/>
                <w:szCs w:val="22"/>
                <w:highlight w:val="none"/>
                <w:lang w:val="zh-CN" w:bidi="zh-CN"/>
              </w:rPr>
            </w:pPr>
            <w:r>
              <w:rPr>
                <w:rFonts w:hint="eastAsia" w:ascii="仿宋" w:hAnsi="仿宋" w:eastAsia="仿宋" w:cs="仿宋"/>
                <w:b/>
                <w:bCs/>
                <w:color w:val="auto"/>
                <w:kern w:val="0"/>
                <w:sz w:val="22"/>
                <w:szCs w:val="22"/>
                <w:highlight w:val="none"/>
                <w:lang w:val="zh-CN" w:bidi="zh-CN"/>
              </w:rPr>
              <w:t>分类模式</w:t>
            </w:r>
          </w:p>
        </w:tc>
        <w:tc>
          <w:tcPr>
            <w:tcW w:w="990" w:type="dxa"/>
            <w:noWrap w:val="0"/>
            <w:vAlign w:val="center"/>
          </w:tcPr>
          <w:p w14:paraId="2276268B">
            <w:pPr>
              <w:autoSpaceDE w:val="0"/>
              <w:autoSpaceDN w:val="0"/>
              <w:spacing w:line="360" w:lineRule="auto"/>
              <w:ind w:right="99"/>
              <w:jc w:val="center"/>
              <w:rPr>
                <w:rFonts w:hint="eastAsia" w:ascii="仿宋" w:hAnsi="仿宋" w:eastAsia="仿宋" w:cs="仿宋"/>
                <w:b/>
                <w:bCs/>
                <w:color w:val="auto"/>
                <w:kern w:val="0"/>
                <w:sz w:val="22"/>
                <w:szCs w:val="22"/>
                <w:highlight w:val="none"/>
                <w:lang w:val="zh-CN" w:bidi="zh-CN"/>
              </w:rPr>
            </w:pPr>
            <w:r>
              <w:rPr>
                <w:rFonts w:hint="eastAsia" w:ascii="仿宋" w:hAnsi="仿宋" w:eastAsia="仿宋" w:cs="仿宋"/>
                <w:b/>
                <w:bCs/>
                <w:color w:val="auto"/>
                <w:kern w:val="0"/>
                <w:sz w:val="22"/>
                <w:szCs w:val="22"/>
                <w:highlight w:val="none"/>
                <w:lang w:val="zh-CN" w:bidi="zh-CN"/>
              </w:rPr>
              <w:t>知晓率</w:t>
            </w:r>
          </w:p>
        </w:tc>
        <w:tc>
          <w:tcPr>
            <w:tcW w:w="1035" w:type="dxa"/>
            <w:noWrap w:val="0"/>
            <w:vAlign w:val="center"/>
          </w:tcPr>
          <w:p w14:paraId="1545A765">
            <w:pPr>
              <w:autoSpaceDE w:val="0"/>
              <w:autoSpaceDN w:val="0"/>
              <w:spacing w:line="360" w:lineRule="auto"/>
              <w:ind w:right="99"/>
              <w:jc w:val="center"/>
              <w:rPr>
                <w:rFonts w:hint="eastAsia" w:ascii="仿宋" w:hAnsi="仿宋" w:eastAsia="仿宋" w:cs="仿宋"/>
                <w:b/>
                <w:bCs/>
                <w:color w:val="auto"/>
                <w:kern w:val="0"/>
                <w:sz w:val="22"/>
                <w:szCs w:val="22"/>
                <w:highlight w:val="none"/>
                <w:lang w:bidi="zh-CN"/>
              </w:rPr>
            </w:pPr>
            <w:r>
              <w:rPr>
                <w:rFonts w:hint="eastAsia" w:ascii="仿宋" w:hAnsi="仿宋" w:eastAsia="仿宋" w:cs="仿宋"/>
                <w:b/>
                <w:bCs/>
                <w:color w:val="auto"/>
                <w:kern w:val="0"/>
                <w:sz w:val="22"/>
                <w:szCs w:val="22"/>
                <w:highlight w:val="none"/>
                <w:lang w:val="zh-CN" w:bidi="zh-CN"/>
              </w:rPr>
              <w:t>参与率</w:t>
            </w:r>
          </w:p>
        </w:tc>
        <w:tc>
          <w:tcPr>
            <w:tcW w:w="1422" w:type="dxa"/>
            <w:noWrap w:val="0"/>
            <w:vAlign w:val="center"/>
          </w:tcPr>
          <w:p w14:paraId="6E7A5BF1">
            <w:pPr>
              <w:autoSpaceDE w:val="0"/>
              <w:autoSpaceDN w:val="0"/>
              <w:spacing w:line="360" w:lineRule="auto"/>
              <w:ind w:right="99"/>
              <w:jc w:val="center"/>
              <w:rPr>
                <w:rFonts w:hint="eastAsia" w:ascii="仿宋" w:hAnsi="仿宋" w:eastAsia="仿宋" w:cs="仿宋"/>
                <w:b/>
                <w:bCs/>
                <w:color w:val="auto"/>
                <w:kern w:val="0"/>
                <w:sz w:val="22"/>
                <w:szCs w:val="22"/>
                <w:highlight w:val="none"/>
                <w:lang w:val="en-US" w:bidi="zh-CN"/>
              </w:rPr>
            </w:pPr>
            <w:r>
              <w:rPr>
                <w:rFonts w:hint="eastAsia" w:ascii="仿宋" w:hAnsi="仿宋" w:eastAsia="仿宋" w:cs="仿宋"/>
                <w:b/>
                <w:bCs/>
                <w:color w:val="000000"/>
                <w:kern w:val="0"/>
                <w:sz w:val="22"/>
                <w:szCs w:val="22"/>
                <w:highlight w:val="none"/>
                <w:lang w:val="zh-CN" w:bidi="zh-CN"/>
              </w:rPr>
              <w:t>投放准确率</w:t>
            </w:r>
          </w:p>
        </w:tc>
        <w:tc>
          <w:tcPr>
            <w:tcW w:w="1458" w:type="dxa"/>
            <w:noWrap w:val="0"/>
            <w:vAlign w:val="center"/>
          </w:tcPr>
          <w:p w14:paraId="7AB34231">
            <w:pPr>
              <w:autoSpaceDE w:val="0"/>
              <w:autoSpaceDN w:val="0"/>
              <w:spacing w:line="360" w:lineRule="auto"/>
              <w:ind w:right="99"/>
              <w:jc w:val="center"/>
              <w:rPr>
                <w:rFonts w:hint="eastAsia" w:ascii="仿宋" w:hAnsi="仿宋" w:eastAsia="仿宋" w:cs="仿宋"/>
                <w:b/>
                <w:bCs/>
                <w:color w:val="auto"/>
                <w:kern w:val="0"/>
                <w:sz w:val="22"/>
                <w:szCs w:val="22"/>
                <w:highlight w:val="none"/>
                <w:lang w:val="zh-CN" w:bidi="zh-CN"/>
              </w:rPr>
            </w:pPr>
            <w:r>
              <w:rPr>
                <w:rFonts w:hint="eastAsia" w:ascii="仿宋" w:hAnsi="仿宋" w:eastAsia="仿宋" w:cs="仿宋"/>
                <w:b/>
                <w:bCs/>
                <w:color w:val="auto"/>
                <w:kern w:val="0"/>
                <w:sz w:val="22"/>
                <w:szCs w:val="22"/>
                <w:highlight w:val="none"/>
                <w:lang w:val="en-US" w:bidi="zh-CN"/>
              </w:rPr>
              <w:t>民众满意度</w:t>
            </w:r>
          </w:p>
        </w:tc>
      </w:tr>
      <w:tr w14:paraId="48B9B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810" w:type="dxa"/>
            <w:noWrap w:val="0"/>
            <w:vAlign w:val="center"/>
          </w:tcPr>
          <w:p w14:paraId="39513C58">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1</w:t>
            </w:r>
          </w:p>
        </w:tc>
        <w:tc>
          <w:tcPr>
            <w:tcW w:w="1395" w:type="dxa"/>
            <w:noWrap w:val="0"/>
            <w:vAlign w:val="center"/>
          </w:tcPr>
          <w:p w14:paraId="5BE0F4E5">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机关</w:t>
            </w:r>
            <w:r>
              <w:rPr>
                <w:rFonts w:hint="eastAsia" w:ascii="仿宋" w:hAnsi="仿宋" w:eastAsia="仿宋" w:cs="仿宋"/>
                <w:color w:val="auto"/>
                <w:kern w:val="0"/>
                <w:sz w:val="22"/>
                <w:szCs w:val="22"/>
                <w:highlight w:val="none"/>
                <w:lang w:val="zh-CN" w:bidi="zh-CN"/>
              </w:rPr>
              <w:t>单位</w:t>
            </w:r>
          </w:p>
        </w:tc>
        <w:tc>
          <w:tcPr>
            <w:tcW w:w="2145" w:type="dxa"/>
            <w:noWrap w:val="0"/>
            <w:vAlign w:val="center"/>
          </w:tcPr>
          <w:p w14:paraId="0EDE8055">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定点分类投放</w:t>
            </w:r>
          </w:p>
        </w:tc>
        <w:tc>
          <w:tcPr>
            <w:tcW w:w="990" w:type="dxa"/>
            <w:noWrap w:val="0"/>
            <w:vAlign w:val="center"/>
          </w:tcPr>
          <w:p w14:paraId="40A8622E">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100%</w:t>
            </w:r>
          </w:p>
        </w:tc>
        <w:tc>
          <w:tcPr>
            <w:tcW w:w="1035" w:type="dxa"/>
            <w:noWrap w:val="0"/>
            <w:vAlign w:val="center"/>
          </w:tcPr>
          <w:p w14:paraId="13EC0B17">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95％</w:t>
            </w:r>
          </w:p>
        </w:tc>
        <w:tc>
          <w:tcPr>
            <w:tcW w:w="1422" w:type="dxa"/>
            <w:noWrap w:val="0"/>
            <w:vAlign w:val="center"/>
          </w:tcPr>
          <w:p w14:paraId="2E0A4729">
            <w:pPr>
              <w:autoSpaceDE w:val="0"/>
              <w:autoSpaceDN w:val="0"/>
              <w:spacing w:line="360" w:lineRule="auto"/>
              <w:ind w:right="99"/>
              <w:jc w:val="center"/>
              <w:rPr>
                <w:rFonts w:hint="default" w:ascii="仿宋" w:hAnsi="仿宋" w:eastAsia="仿宋" w:cs="仿宋"/>
                <w:color w:val="auto"/>
                <w:kern w:val="0"/>
                <w:sz w:val="22"/>
                <w:szCs w:val="22"/>
                <w:highlight w:val="none"/>
                <w:lang w:val="en-US" w:bidi="zh-CN"/>
              </w:rPr>
            </w:pPr>
            <w:r>
              <w:rPr>
                <w:rFonts w:hint="eastAsia" w:ascii="仿宋" w:hAnsi="仿宋" w:eastAsia="仿宋" w:cs="仿宋"/>
                <w:color w:val="auto"/>
                <w:kern w:val="0"/>
                <w:sz w:val="22"/>
                <w:szCs w:val="22"/>
                <w:highlight w:val="none"/>
                <w:lang w:val="en-US" w:bidi="zh-CN"/>
              </w:rPr>
              <w:t>88%</w:t>
            </w:r>
          </w:p>
        </w:tc>
        <w:tc>
          <w:tcPr>
            <w:tcW w:w="1458" w:type="dxa"/>
            <w:vMerge w:val="restart"/>
            <w:noWrap w:val="0"/>
            <w:vAlign w:val="center"/>
          </w:tcPr>
          <w:p w14:paraId="5523F3EA">
            <w:pPr>
              <w:autoSpaceDE w:val="0"/>
              <w:autoSpaceDN w:val="0"/>
              <w:spacing w:line="720" w:lineRule="auto"/>
              <w:ind w:right="99"/>
              <w:jc w:val="center"/>
              <w:rPr>
                <w:rFonts w:hint="eastAsia" w:ascii="仿宋" w:hAnsi="仿宋" w:eastAsia="仿宋" w:cs="仿宋"/>
                <w:color w:val="auto"/>
                <w:kern w:val="0"/>
                <w:sz w:val="22"/>
                <w:szCs w:val="22"/>
                <w:highlight w:val="none"/>
                <w:lang w:val="en-US" w:bidi="zh-CN"/>
              </w:rPr>
            </w:pPr>
            <w:r>
              <w:rPr>
                <w:rFonts w:hint="eastAsia" w:ascii="仿宋" w:hAnsi="仿宋" w:eastAsia="仿宋" w:cs="仿宋"/>
                <w:color w:val="auto"/>
                <w:kern w:val="0"/>
                <w:sz w:val="22"/>
                <w:szCs w:val="22"/>
                <w:highlight w:val="none"/>
                <w:lang w:val="en-US" w:bidi="zh-CN"/>
              </w:rPr>
              <w:t>≥85%</w:t>
            </w:r>
          </w:p>
        </w:tc>
      </w:tr>
      <w:tr w14:paraId="1FD7B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810" w:type="dxa"/>
            <w:noWrap w:val="0"/>
            <w:vAlign w:val="center"/>
          </w:tcPr>
          <w:p w14:paraId="6AA45D87">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2</w:t>
            </w:r>
          </w:p>
        </w:tc>
        <w:tc>
          <w:tcPr>
            <w:tcW w:w="1395" w:type="dxa"/>
            <w:noWrap w:val="0"/>
            <w:vAlign w:val="center"/>
          </w:tcPr>
          <w:p w14:paraId="07B590A6">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学校</w:t>
            </w:r>
          </w:p>
        </w:tc>
        <w:tc>
          <w:tcPr>
            <w:tcW w:w="2145" w:type="dxa"/>
            <w:noWrap w:val="0"/>
            <w:vAlign w:val="center"/>
          </w:tcPr>
          <w:p w14:paraId="7E0BCE2F">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定点分类投放</w:t>
            </w:r>
          </w:p>
        </w:tc>
        <w:tc>
          <w:tcPr>
            <w:tcW w:w="990" w:type="dxa"/>
            <w:noWrap w:val="0"/>
            <w:vAlign w:val="center"/>
          </w:tcPr>
          <w:p w14:paraId="1E0E7B3A">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100％</w:t>
            </w:r>
          </w:p>
        </w:tc>
        <w:tc>
          <w:tcPr>
            <w:tcW w:w="1035" w:type="dxa"/>
            <w:noWrap w:val="0"/>
            <w:vAlign w:val="center"/>
          </w:tcPr>
          <w:p w14:paraId="72B0DFD6">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95％</w:t>
            </w:r>
          </w:p>
        </w:tc>
        <w:tc>
          <w:tcPr>
            <w:tcW w:w="1422" w:type="dxa"/>
            <w:noWrap w:val="0"/>
            <w:vAlign w:val="center"/>
          </w:tcPr>
          <w:p w14:paraId="6BE4B464">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88%</w:t>
            </w:r>
          </w:p>
        </w:tc>
        <w:tc>
          <w:tcPr>
            <w:tcW w:w="1458" w:type="dxa"/>
            <w:vMerge w:val="continue"/>
            <w:noWrap w:val="0"/>
            <w:vAlign w:val="center"/>
          </w:tcPr>
          <w:p w14:paraId="6A85A2EB">
            <w:pPr>
              <w:autoSpaceDE w:val="0"/>
              <w:autoSpaceDN w:val="0"/>
              <w:spacing w:line="720" w:lineRule="auto"/>
              <w:ind w:right="99"/>
              <w:jc w:val="center"/>
              <w:rPr>
                <w:rFonts w:hint="eastAsia" w:ascii="仿宋" w:hAnsi="仿宋" w:eastAsia="仿宋" w:cs="仿宋"/>
                <w:color w:val="auto"/>
                <w:kern w:val="0"/>
                <w:sz w:val="22"/>
                <w:szCs w:val="22"/>
                <w:highlight w:val="none"/>
                <w:lang w:val="zh-CN" w:bidi="zh-CN"/>
              </w:rPr>
            </w:pPr>
          </w:p>
        </w:tc>
      </w:tr>
      <w:tr w14:paraId="155E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810" w:type="dxa"/>
            <w:noWrap w:val="0"/>
            <w:vAlign w:val="center"/>
          </w:tcPr>
          <w:p w14:paraId="350A20C8">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3</w:t>
            </w:r>
          </w:p>
        </w:tc>
        <w:tc>
          <w:tcPr>
            <w:tcW w:w="1395" w:type="dxa"/>
            <w:noWrap w:val="0"/>
            <w:vAlign w:val="center"/>
          </w:tcPr>
          <w:p w14:paraId="6C0DFE62">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医院</w:t>
            </w:r>
          </w:p>
        </w:tc>
        <w:tc>
          <w:tcPr>
            <w:tcW w:w="2145" w:type="dxa"/>
            <w:noWrap w:val="0"/>
            <w:vAlign w:val="center"/>
          </w:tcPr>
          <w:p w14:paraId="3FF33A32">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定点分类投放</w:t>
            </w:r>
          </w:p>
        </w:tc>
        <w:tc>
          <w:tcPr>
            <w:tcW w:w="990" w:type="dxa"/>
            <w:noWrap w:val="0"/>
            <w:vAlign w:val="center"/>
          </w:tcPr>
          <w:p w14:paraId="76F5CCCA">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90％</w:t>
            </w:r>
          </w:p>
        </w:tc>
        <w:tc>
          <w:tcPr>
            <w:tcW w:w="1035" w:type="dxa"/>
            <w:noWrap w:val="0"/>
            <w:vAlign w:val="center"/>
          </w:tcPr>
          <w:p w14:paraId="11822B43">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90％</w:t>
            </w:r>
          </w:p>
        </w:tc>
        <w:tc>
          <w:tcPr>
            <w:tcW w:w="1422" w:type="dxa"/>
            <w:noWrap w:val="0"/>
            <w:vAlign w:val="center"/>
          </w:tcPr>
          <w:p w14:paraId="0A552C95">
            <w:pPr>
              <w:autoSpaceDE w:val="0"/>
              <w:autoSpaceDN w:val="0"/>
              <w:spacing w:line="360" w:lineRule="auto"/>
              <w:ind w:right="99"/>
              <w:jc w:val="center"/>
              <w:rPr>
                <w:rFonts w:hint="default" w:ascii="仿宋" w:hAnsi="仿宋" w:eastAsia="仿宋" w:cs="仿宋"/>
                <w:color w:val="auto"/>
                <w:kern w:val="0"/>
                <w:sz w:val="22"/>
                <w:szCs w:val="22"/>
                <w:highlight w:val="none"/>
                <w:lang w:val="en-US" w:bidi="zh-CN"/>
              </w:rPr>
            </w:pPr>
            <w:r>
              <w:rPr>
                <w:rFonts w:hint="eastAsia" w:ascii="仿宋" w:hAnsi="仿宋" w:eastAsia="仿宋" w:cs="仿宋"/>
                <w:color w:val="auto"/>
                <w:kern w:val="0"/>
                <w:sz w:val="22"/>
                <w:szCs w:val="22"/>
                <w:highlight w:val="none"/>
                <w:lang w:val="en-US" w:bidi="zh-CN"/>
              </w:rPr>
              <w:t>65%</w:t>
            </w:r>
          </w:p>
        </w:tc>
        <w:tc>
          <w:tcPr>
            <w:tcW w:w="1458" w:type="dxa"/>
            <w:vMerge w:val="continue"/>
            <w:noWrap w:val="0"/>
            <w:vAlign w:val="center"/>
          </w:tcPr>
          <w:p w14:paraId="60AAE02F">
            <w:pPr>
              <w:autoSpaceDE w:val="0"/>
              <w:autoSpaceDN w:val="0"/>
              <w:spacing w:line="720" w:lineRule="auto"/>
              <w:ind w:right="99"/>
              <w:jc w:val="center"/>
              <w:rPr>
                <w:rFonts w:hint="eastAsia" w:ascii="仿宋" w:hAnsi="仿宋" w:eastAsia="仿宋" w:cs="仿宋"/>
                <w:color w:val="auto"/>
                <w:kern w:val="0"/>
                <w:sz w:val="22"/>
                <w:szCs w:val="22"/>
                <w:highlight w:val="none"/>
                <w:lang w:val="zh-CN" w:bidi="zh-CN"/>
              </w:rPr>
            </w:pPr>
          </w:p>
        </w:tc>
      </w:tr>
      <w:tr w14:paraId="1E1EE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10" w:type="dxa"/>
            <w:noWrap w:val="0"/>
            <w:vAlign w:val="center"/>
          </w:tcPr>
          <w:p w14:paraId="3A61A9E7">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4</w:t>
            </w:r>
          </w:p>
        </w:tc>
        <w:tc>
          <w:tcPr>
            <w:tcW w:w="1395" w:type="dxa"/>
            <w:noWrap w:val="0"/>
            <w:vAlign w:val="center"/>
          </w:tcPr>
          <w:p w14:paraId="1E290F67">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酒店</w:t>
            </w:r>
          </w:p>
        </w:tc>
        <w:tc>
          <w:tcPr>
            <w:tcW w:w="2145" w:type="dxa"/>
            <w:noWrap w:val="0"/>
            <w:vAlign w:val="center"/>
          </w:tcPr>
          <w:p w14:paraId="2B8FF9FD">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定点分类投放</w:t>
            </w:r>
          </w:p>
        </w:tc>
        <w:tc>
          <w:tcPr>
            <w:tcW w:w="990" w:type="dxa"/>
            <w:noWrap w:val="0"/>
            <w:vAlign w:val="center"/>
          </w:tcPr>
          <w:p w14:paraId="3E2D14BC">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90％</w:t>
            </w:r>
          </w:p>
        </w:tc>
        <w:tc>
          <w:tcPr>
            <w:tcW w:w="1035" w:type="dxa"/>
            <w:noWrap w:val="0"/>
            <w:vAlign w:val="center"/>
          </w:tcPr>
          <w:p w14:paraId="6C296B61">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85％</w:t>
            </w:r>
          </w:p>
        </w:tc>
        <w:tc>
          <w:tcPr>
            <w:tcW w:w="1422" w:type="dxa"/>
            <w:noWrap w:val="0"/>
            <w:vAlign w:val="center"/>
          </w:tcPr>
          <w:p w14:paraId="4AA23A8C">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65%</w:t>
            </w:r>
          </w:p>
        </w:tc>
        <w:tc>
          <w:tcPr>
            <w:tcW w:w="1458" w:type="dxa"/>
            <w:vMerge w:val="continue"/>
            <w:noWrap w:val="0"/>
            <w:vAlign w:val="center"/>
          </w:tcPr>
          <w:p w14:paraId="78B80DD4">
            <w:pPr>
              <w:autoSpaceDE w:val="0"/>
              <w:autoSpaceDN w:val="0"/>
              <w:spacing w:line="720" w:lineRule="auto"/>
              <w:ind w:right="99"/>
              <w:jc w:val="center"/>
              <w:rPr>
                <w:rFonts w:hint="eastAsia" w:ascii="仿宋" w:hAnsi="仿宋" w:eastAsia="仿宋" w:cs="仿宋"/>
                <w:color w:val="auto"/>
                <w:kern w:val="0"/>
                <w:sz w:val="22"/>
                <w:szCs w:val="22"/>
                <w:highlight w:val="none"/>
                <w:lang w:val="zh-CN" w:bidi="zh-CN"/>
              </w:rPr>
            </w:pPr>
          </w:p>
        </w:tc>
      </w:tr>
      <w:tr w14:paraId="57F48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810" w:type="dxa"/>
            <w:noWrap w:val="0"/>
            <w:vAlign w:val="center"/>
          </w:tcPr>
          <w:p w14:paraId="5B8B447C">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5</w:t>
            </w:r>
          </w:p>
        </w:tc>
        <w:tc>
          <w:tcPr>
            <w:tcW w:w="1395" w:type="dxa"/>
            <w:noWrap w:val="0"/>
            <w:vAlign w:val="center"/>
          </w:tcPr>
          <w:p w14:paraId="0F4315D4">
            <w:pPr>
              <w:autoSpaceDE w:val="0"/>
              <w:autoSpaceDN w:val="0"/>
              <w:spacing w:line="360" w:lineRule="auto"/>
              <w:ind w:right="99"/>
              <w:jc w:val="center"/>
              <w:rPr>
                <w:rFonts w:hint="eastAsia" w:ascii="仿宋" w:hAnsi="仿宋" w:eastAsia="仿宋" w:cs="仿宋"/>
                <w:color w:val="auto"/>
                <w:kern w:val="0"/>
                <w:sz w:val="22"/>
                <w:szCs w:val="22"/>
                <w:highlight w:val="none"/>
                <w:lang w:val="en-US" w:bidi="zh-CN"/>
              </w:rPr>
            </w:pPr>
            <w:r>
              <w:rPr>
                <w:rFonts w:hint="eastAsia" w:ascii="仿宋" w:hAnsi="仿宋" w:eastAsia="仿宋" w:cs="仿宋"/>
                <w:color w:val="auto"/>
                <w:kern w:val="0"/>
                <w:sz w:val="22"/>
                <w:szCs w:val="22"/>
                <w:highlight w:val="none"/>
                <w:lang w:val="en-US" w:bidi="zh-CN"/>
              </w:rPr>
              <w:t>商超</w:t>
            </w:r>
          </w:p>
        </w:tc>
        <w:tc>
          <w:tcPr>
            <w:tcW w:w="2145" w:type="dxa"/>
            <w:noWrap w:val="0"/>
            <w:vAlign w:val="center"/>
          </w:tcPr>
          <w:p w14:paraId="300DE622">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定点分类投放</w:t>
            </w:r>
          </w:p>
        </w:tc>
        <w:tc>
          <w:tcPr>
            <w:tcW w:w="990" w:type="dxa"/>
            <w:noWrap w:val="0"/>
            <w:vAlign w:val="center"/>
          </w:tcPr>
          <w:p w14:paraId="190E4E88">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90％</w:t>
            </w:r>
          </w:p>
        </w:tc>
        <w:tc>
          <w:tcPr>
            <w:tcW w:w="1035" w:type="dxa"/>
            <w:noWrap w:val="0"/>
            <w:vAlign w:val="center"/>
          </w:tcPr>
          <w:p w14:paraId="627471D3">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85％</w:t>
            </w:r>
          </w:p>
        </w:tc>
        <w:tc>
          <w:tcPr>
            <w:tcW w:w="1422" w:type="dxa"/>
            <w:noWrap w:val="0"/>
            <w:vAlign w:val="center"/>
          </w:tcPr>
          <w:p w14:paraId="16166368">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65%</w:t>
            </w:r>
          </w:p>
        </w:tc>
        <w:tc>
          <w:tcPr>
            <w:tcW w:w="1458" w:type="dxa"/>
            <w:vMerge w:val="continue"/>
            <w:noWrap w:val="0"/>
            <w:vAlign w:val="center"/>
          </w:tcPr>
          <w:p w14:paraId="18AC8D9E">
            <w:pPr>
              <w:autoSpaceDE w:val="0"/>
              <w:autoSpaceDN w:val="0"/>
              <w:spacing w:line="720" w:lineRule="auto"/>
              <w:ind w:right="99"/>
              <w:jc w:val="center"/>
              <w:rPr>
                <w:rFonts w:hint="eastAsia" w:ascii="仿宋" w:hAnsi="仿宋" w:eastAsia="仿宋" w:cs="仿宋"/>
                <w:color w:val="auto"/>
                <w:kern w:val="0"/>
                <w:sz w:val="22"/>
                <w:szCs w:val="22"/>
                <w:highlight w:val="none"/>
                <w:lang w:val="zh-CN" w:bidi="zh-CN"/>
              </w:rPr>
            </w:pPr>
          </w:p>
        </w:tc>
      </w:tr>
      <w:tr w14:paraId="67897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810" w:type="dxa"/>
            <w:noWrap w:val="0"/>
            <w:vAlign w:val="center"/>
          </w:tcPr>
          <w:p w14:paraId="734E5F63">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6</w:t>
            </w:r>
          </w:p>
        </w:tc>
        <w:tc>
          <w:tcPr>
            <w:tcW w:w="1395" w:type="dxa"/>
            <w:noWrap w:val="0"/>
            <w:vAlign w:val="center"/>
          </w:tcPr>
          <w:p w14:paraId="1B03FEB8">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示范街道</w:t>
            </w:r>
          </w:p>
        </w:tc>
        <w:tc>
          <w:tcPr>
            <w:tcW w:w="2145" w:type="dxa"/>
            <w:noWrap w:val="0"/>
            <w:vAlign w:val="center"/>
          </w:tcPr>
          <w:p w14:paraId="0D6EDA32">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定点分类投放</w:t>
            </w:r>
          </w:p>
        </w:tc>
        <w:tc>
          <w:tcPr>
            <w:tcW w:w="990" w:type="dxa"/>
            <w:noWrap w:val="0"/>
            <w:vAlign w:val="center"/>
          </w:tcPr>
          <w:p w14:paraId="5F11D781">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95％</w:t>
            </w:r>
          </w:p>
        </w:tc>
        <w:tc>
          <w:tcPr>
            <w:tcW w:w="1035" w:type="dxa"/>
            <w:noWrap w:val="0"/>
            <w:vAlign w:val="center"/>
          </w:tcPr>
          <w:p w14:paraId="660B8DF7">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85％</w:t>
            </w:r>
          </w:p>
        </w:tc>
        <w:tc>
          <w:tcPr>
            <w:tcW w:w="1422" w:type="dxa"/>
            <w:noWrap w:val="0"/>
            <w:vAlign w:val="center"/>
          </w:tcPr>
          <w:p w14:paraId="3B40496D">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65%</w:t>
            </w:r>
          </w:p>
        </w:tc>
        <w:tc>
          <w:tcPr>
            <w:tcW w:w="1458" w:type="dxa"/>
            <w:vMerge w:val="continue"/>
            <w:noWrap w:val="0"/>
            <w:vAlign w:val="center"/>
          </w:tcPr>
          <w:p w14:paraId="24A885CA">
            <w:pPr>
              <w:autoSpaceDE w:val="0"/>
              <w:autoSpaceDN w:val="0"/>
              <w:spacing w:line="720" w:lineRule="auto"/>
              <w:ind w:right="99"/>
              <w:jc w:val="center"/>
              <w:rPr>
                <w:rFonts w:hint="eastAsia" w:ascii="仿宋" w:hAnsi="仿宋" w:eastAsia="仿宋" w:cs="仿宋"/>
                <w:color w:val="auto"/>
                <w:kern w:val="0"/>
                <w:sz w:val="22"/>
                <w:szCs w:val="22"/>
                <w:highlight w:val="none"/>
                <w:lang w:val="zh-CN" w:bidi="zh-CN"/>
              </w:rPr>
            </w:pPr>
          </w:p>
        </w:tc>
      </w:tr>
      <w:tr w14:paraId="615BB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810" w:type="dxa"/>
            <w:noWrap w:val="0"/>
            <w:vAlign w:val="center"/>
          </w:tcPr>
          <w:p w14:paraId="1719F317">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7</w:t>
            </w:r>
          </w:p>
        </w:tc>
        <w:tc>
          <w:tcPr>
            <w:tcW w:w="1395" w:type="dxa"/>
            <w:noWrap w:val="0"/>
            <w:vAlign w:val="center"/>
          </w:tcPr>
          <w:p w14:paraId="3BC3E030">
            <w:pPr>
              <w:autoSpaceDE w:val="0"/>
              <w:autoSpaceDN w:val="0"/>
              <w:spacing w:line="360" w:lineRule="auto"/>
              <w:ind w:right="99"/>
              <w:jc w:val="center"/>
              <w:rPr>
                <w:rFonts w:hint="eastAsia" w:ascii="仿宋" w:hAnsi="仿宋" w:eastAsia="仿宋" w:cs="仿宋"/>
                <w:color w:val="auto"/>
                <w:kern w:val="0"/>
                <w:sz w:val="22"/>
                <w:szCs w:val="22"/>
                <w:highlight w:val="none"/>
                <w:lang w:val="en-US" w:bidi="zh-CN"/>
              </w:rPr>
            </w:pPr>
            <w:r>
              <w:rPr>
                <w:rFonts w:hint="eastAsia" w:ascii="仿宋" w:hAnsi="仿宋" w:eastAsia="仿宋" w:cs="仿宋"/>
                <w:color w:val="auto"/>
                <w:kern w:val="0"/>
                <w:sz w:val="22"/>
                <w:szCs w:val="22"/>
                <w:highlight w:val="none"/>
                <w:lang w:val="zh-CN" w:bidi="zh-CN"/>
              </w:rPr>
              <w:t>示范社区</w:t>
            </w:r>
          </w:p>
        </w:tc>
        <w:tc>
          <w:tcPr>
            <w:tcW w:w="2145" w:type="dxa"/>
            <w:noWrap w:val="0"/>
            <w:vAlign w:val="center"/>
          </w:tcPr>
          <w:p w14:paraId="1072116D">
            <w:pPr>
              <w:autoSpaceDE w:val="0"/>
              <w:autoSpaceDN w:val="0"/>
              <w:spacing w:line="360" w:lineRule="auto"/>
              <w:ind w:right="99"/>
              <w:jc w:val="center"/>
              <w:rPr>
                <w:rFonts w:hint="eastAsia" w:ascii="仿宋" w:hAnsi="仿宋" w:eastAsia="仿宋" w:cs="仿宋"/>
                <w:color w:val="auto"/>
                <w:kern w:val="0"/>
                <w:sz w:val="22"/>
                <w:szCs w:val="22"/>
                <w:highlight w:val="none"/>
                <w:lang w:val="en-US" w:bidi="zh-CN"/>
              </w:rPr>
            </w:pPr>
            <w:r>
              <w:rPr>
                <w:rFonts w:hint="eastAsia" w:ascii="仿宋" w:hAnsi="仿宋" w:eastAsia="仿宋" w:cs="仿宋"/>
                <w:color w:val="auto"/>
                <w:kern w:val="0"/>
                <w:sz w:val="22"/>
                <w:szCs w:val="22"/>
                <w:highlight w:val="none"/>
                <w:lang w:val="zh-CN" w:bidi="zh-CN"/>
              </w:rPr>
              <w:t>分类投放、</w:t>
            </w:r>
            <w:r>
              <w:rPr>
                <w:rFonts w:hint="eastAsia" w:ascii="仿宋" w:hAnsi="仿宋" w:eastAsia="仿宋" w:cs="仿宋"/>
                <w:color w:val="auto"/>
                <w:kern w:val="0"/>
                <w:sz w:val="22"/>
                <w:szCs w:val="22"/>
                <w:highlight w:val="none"/>
                <w:lang w:val="en-US" w:bidi="zh-CN"/>
              </w:rPr>
              <w:t>收集</w:t>
            </w:r>
          </w:p>
        </w:tc>
        <w:tc>
          <w:tcPr>
            <w:tcW w:w="990" w:type="dxa"/>
            <w:noWrap w:val="0"/>
            <w:vAlign w:val="center"/>
          </w:tcPr>
          <w:p w14:paraId="63C714E0">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100％</w:t>
            </w:r>
          </w:p>
        </w:tc>
        <w:tc>
          <w:tcPr>
            <w:tcW w:w="1035" w:type="dxa"/>
            <w:noWrap w:val="0"/>
            <w:vAlign w:val="center"/>
          </w:tcPr>
          <w:p w14:paraId="47F36783">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85％</w:t>
            </w:r>
          </w:p>
        </w:tc>
        <w:tc>
          <w:tcPr>
            <w:tcW w:w="1422" w:type="dxa"/>
            <w:noWrap w:val="0"/>
            <w:vAlign w:val="center"/>
          </w:tcPr>
          <w:p w14:paraId="4698C6D5">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65%</w:t>
            </w:r>
          </w:p>
        </w:tc>
        <w:tc>
          <w:tcPr>
            <w:tcW w:w="1458" w:type="dxa"/>
            <w:vMerge w:val="continue"/>
            <w:noWrap w:val="0"/>
            <w:vAlign w:val="center"/>
          </w:tcPr>
          <w:p w14:paraId="5BCACCF5">
            <w:pPr>
              <w:autoSpaceDE w:val="0"/>
              <w:autoSpaceDN w:val="0"/>
              <w:spacing w:line="720" w:lineRule="auto"/>
              <w:ind w:right="99"/>
              <w:jc w:val="center"/>
              <w:rPr>
                <w:rFonts w:hint="eastAsia" w:ascii="仿宋" w:hAnsi="仿宋" w:eastAsia="仿宋" w:cs="仿宋"/>
                <w:color w:val="auto"/>
                <w:kern w:val="0"/>
                <w:sz w:val="22"/>
                <w:szCs w:val="22"/>
                <w:highlight w:val="none"/>
                <w:lang w:val="zh-CN" w:bidi="zh-CN"/>
              </w:rPr>
            </w:pPr>
          </w:p>
        </w:tc>
      </w:tr>
      <w:tr w14:paraId="709A2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810" w:type="dxa"/>
            <w:noWrap w:val="0"/>
            <w:vAlign w:val="center"/>
          </w:tcPr>
          <w:p w14:paraId="464EC615">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8</w:t>
            </w:r>
          </w:p>
        </w:tc>
        <w:tc>
          <w:tcPr>
            <w:tcW w:w="1395" w:type="dxa"/>
            <w:noWrap w:val="0"/>
            <w:vAlign w:val="center"/>
          </w:tcPr>
          <w:p w14:paraId="782389EE">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小区</w:t>
            </w:r>
          </w:p>
        </w:tc>
        <w:tc>
          <w:tcPr>
            <w:tcW w:w="2145" w:type="dxa"/>
            <w:noWrap w:val="0"/>
            <w:vAlign w:val="center"/>
          </w:tcPr>
          <w:p w14:paraId="79506C5C">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定时定点分类投放</w:t>
            </w:r>
          </w:p>
        </w:tc>
        <w:tc>
          <w:tcPr>
            <w:tcW w:w="990" w:type="dxa"/>
            <w:noWrap w:val="0"/>
            <w:vAlign w:val="center"/>
          </w:tcPr>
          <w:p w14:paraId="77756416">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95％</w:t>
            </w:r>
          </w:p>
        </w:tc>
        <w:tc>
          <w:tcPr>
            <w:tcW w:w="1035" w:type="dxa"/>
            <w:noWrap w:val="0"/>
            <w:vAlign w:val="center"/>
          </w:tcPr>
          <w:p w14:paraId="3DD4FAC4">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85％</w:t>
            </w:r>
          </w:p>
        </w:tc>
        <w:tc>
          <w:tcPr>
            <w:tcW w:w="1422" w:type="dxa"/>
            <w:noWrap w:val="0"/>
            <w:vAlign w:val="center"/>
          </w:tcPr>
          <w:p w14:paraId="4B6CAFF4">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65%</w:t>
            </w:r>
          </w:p>
        </w:tc>
        <w:tc>
          <w:tcPr>
            <w:tcW w:w="1458" w:type="dxa"/>
            <w:vMerge w:val="continue"/>
            <w:noWrap w:val="0"/>
            <w:vAlign w:val="center"/>
          </w:tcPr>
          <w:p w14:paraId="3C330381">
            <w:pPr>
              <w:autoSpaceDE w:val="0"/>
              <w:autoSpaceDN w:val="0"/>
              <w:spacing w:line="720" w:lineRule="auto"/>
              <w:ind w:right="99"/>
              <w:jc w:val="center"/>
              <w:rPr>
                <w:rFonts w:hint="eastAsia" w:ascii="仿宋" w:hAnsi="仿宋" w:eastAsia="仿宋" w:cs="仿宋"/>
                <w:color w:val="auto"/>
                <w:kern w:val="0"/>
                <w:sz w:val="22"/>
                <w:szCs w:val="22"/>
                <w:highlight w:val="none"/>
                <w:lang w:val="zh-CN" w:bidi="zh-CN"/>
              </w:rPr>
            </w:pPr>
          </w:p>
        </w:tc>
      </w:tr>
      <w:tr w14:paraId="7E68A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810" w:type="dxa"/>
            <w:noWrap w:val="0"/>
            <w:vAlign w:val="center"/>
          </w:tcPr>
          <w:p w14:paraId="3647ACF3">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9</w:t>
            </w:r>
          </w:p>
        </w:tc>
        <w:tc>
          <w:tcPr>
            <w:tcW w:w="1395" w:type="dxa"/>
            <w:noWrap w:val="0"/>
            <w:vAlign w:val="center"/>
          </w:tcPr>
          <w:p w14:paraId="3EE0B64F">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景区、广场</w:t>
            </w:r>
          </w:p>
        </w:tc>
        <w:tc>
          <w:tcPr>
            <w:tcW w:w="2145" w:type="dxa"/>
            <w:noWrap w:val="0"/>
            <w:vAlign w:val="center"/>
          </w:tcPr>
          <w:p w14:paraId="2E6F11D6">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定点分类投放</w:t>
            </w:r>
          </w:p>
        </w:tc>
        <w:tc>
          <w:tcPr>
            <w:tcW w:w="990" w:type="dxa"/>
            <w:noWrap w:val="0"/>
            <w:vAlign w:val="center"/>
          </w:tcPr>
          <w:p w14:paraId="20CAA146">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80％</w:t>
            </w:r>
          </w:p>
        </w:tc>
        <w:tc>
          <w:tcPr>
            <w:tcW w:w="1035" w:type="dxa"/>
            <w:noWrap w:val="0"/>
            <w:vAlign w:val="center"/>
          </w:tcPr>
          <w:p w14:paraId="3059442A">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zh-CN" w:bidi="zh-CN"/>
              </w:rPr>
              <w:t>80％</w:t>
            </w:r>
          </w:p>
        </w:tc>
        <w:tc>
          <w:tcPr>
            <w:tcW w:w="1422" w:type="dxa"/>
            <w:noWrap w:val="0"/>
            <w:vAlign w:val="center"/>
          </w:tcPr>
          <w:p w14:paraId="5F82DBA5">
            <w:pPr>
              <w:autoSpaceDE w:val="0"/>
              <w:autoSpaceDN w:val="0"/>
              <w:spacing w:line="360" w:lineRule="auto"/>
              <w:ind w:right="99"/>
              <w:jc w:val="center"/>
              <w:rPr>
                <w:rFonts w:hint="eastAsia" w:ascii="仿宋" w:hAnsi="仿宋" w:eastAsia="仿宋" w:cs="仿宋"/>
                <w:color w:val="auto"/>
                <w:kern w:val="0"/>
                <w:sz w:val="22"/>
                <w:szCs w:val="22"/>
                <w:highlight w:val="none"/>
                <w:lang w:val="zh-CN" w:bidi="zh-CN"/>
              </w:rPr>
            </w:pPr>
            <w:r>
              <w:rPr>
                <w:rFonts w:hint="eastAsia" w:ascii="仿宋" w:hAnsi="仿宋" w:eastAsia="仿宋" w:cs="仿宋"/>
                <w:color w:val="auto"/>
                <w:kern w:val="0"/>
                <w:sz w:val="22"/>
                <w:szCs w:val="22"/>
                <w:highlight w:val="none"/>
                <w:lang w:val="en-US" w:bidi="zh-CN"/>
              </w:rPr>
              <w:t>65%</w:t>
            </w:r>
          </w:p>
        </w:tc>
        <w:tc>
          <w:tcPr>
            <w:tcW w:w="1458" w:type="dxa"/>
            <w:vMerge w:val="continue"/>
            <w:noWrap w:val="0"/>
            <w:vAlign w:val="center"/>
          </w:tcPr>
          <w:p w14:paraId="305AC18E">
            <w:pPr>
              <w:autoSpaceDE w:val="0"/>
              <w:autoSpaceDN w:val="0"/>
              <w:spacing w:line="720" w:lineRule="auto"/>
              <w:ind w:right="99"/>
              <w:jc w:val="center"/>
              <w:rPr>
                <w:rFonts w:hint="eastAsia" w:ascii="仿宋" w:hAnsi="仿宋" w:eastAsia="仿宋" w:cs="仿宋"/>
                <w:color w:val="auto"/>
                <w:kern w:val="0"/>
                <w:sz w:val="22"/>
                <w:szCs w:val="22"/>
                <w:highlight w:val="none"/>
                <w:lang w:val="zh-CN" w:bidi="zh-CN"/>
              </w:rPr>
            </w:pPr>
          </w:p>
        </w:tc>
      </w:tr>
    </w:tbl>
    <w:p w14:paraId="4F7DCA12">
      <w:pPr>
        <w:pStyle w:val="3"/>
        <w:ind w:left="0" w:leftChars="0" w:firstLine="0" w:firstLineChars="0"/>
        <w:rPr>
          <w:rFonts w:hint="eastAsia" w:ascii="方正仿宋_GB2312" w:hAnsi="方正仿宋_GB2312" w:eastAsia="方正仿宋_GB2312" w:cs="方正仿宋_GB2312"/>
          <w:color w:val="auto"/>
          <w:sz w:val="22"/>
          <w:szCs w:val="22"/>
          <w:highlight w:val="none"/>
        </w:rPr>
      </w:pPr>
    </w:p>
    <w:p w14:paraId="3178777F">
      <w:pPr>
        <w:pStyle w:val="3"/>
        <w:ind w:left="0" w:leftChars="0" w:firstLine="0" w:firstLineChars="0"/>
        <w:rPr>
          <w:rFonts w:hint="eastAsia" w:ascii="方正仿宋_GB2312" w:hAnsi="方正仿宋_GB2312" w:eastAsia="方正仿宋_GB2312" w:cs="方正仿宋_GB2312"/>
          <w:color w:val="auto"/>
          <w:sz w:val="22"/>
          <w:szCs w:val="22"/>
          <w:highlight w:val="none"/>
        </w:rPr>
      </w:pPr>
    </w:p>
    <w:p w14:paraId="6B2A673D">
      <w:pPr>
        <w:pStyle w:val="3"/>
        <w:ind w:left="0" w:leftChars="0" w:firstLine="0" w:firstLineChars="0"/>
        <w:rPr>
          <w:rFonts w:hint="eastAsia" w:ascii="方正仿宋_GB2312" w:hAnsi="方正仿宋_GB2312" w:eastAsia="方正仿宋_GB2312" w:cs="方正仿宋_GB2312"/>
          <w:color w:val="auto"/>
          <w:kern w:val="0"/>
          <w:sz w:val="22"/>
          <w:szCs w:val="22"/>
          <w:highlight w:val="none"/>
          <w:lang w:val="zh-CN" w:bidi="zh-CN"/>
        </w:rPr>
      </w:pPr>
    </w:p>
    <w:p w14:paraId="667EF2C2">
      <w:pPr>
        <w:pStyle w:val="3"/>
        <w:ind w:left="0" w:leftChars="0" w:firstLine="442" w:firstLineChars="200"/>
        <w:rPr>
          <w:rFonts w:hint="eastAsia" w:ascii="方正仿宋_GB2312" w:hAnsi="方正仿宋_GB2312" w:eastAsia="方正仿宋_GB2312" w:cs="方正仿宋_GB2312"/>
          <w:b/>
          <w:bCs/>
          <w:color w:val="auto"/>
          <w:kern w:val="0"/>
          <w:sz w:val="22"/>
          <w:szCs w:val="22"/>
          <w:highlight w:val="none"/>
          <w:lang w:val="en-US" w:bidi="zh-CN"/>
        </w:rPr>
      </w:pPr>
      <w:bookmarkStart w:id="18" w:name="OLE_LINK3"/>
      <w:r>
        <w:rPr>
          <w:rFonts w:hint="eastAsia" w:ascii="方正仿宋_GB2312" w:hAnsi="方正仿宋_GB2312" w:eastAsia="方正仿宋_GB2312" w:cs="方正仿宋_GB2312"/>
          <w:b/>
          <w:bCs/>
          <w:color w:val="auto"/>
          <w:kern w:val="0"/>
          <w:sz w:val="22"/>
          <w:szCs w:val="22"/>
          <w:highlight w:val="none"/>
          <w:lang w:val="zh-CN" w:bidi="zh-CN"/>
        </w:rPr>
        <w:br w:type="page"/>
      </w:r>
      <w:r>
        <w:rPr>
          <w:rFonts w:hint="eastAsia" w:ascii="方正仿宋_GB2312" w:hAnsi="方正仿宋_GB2312" w:eastAsia="方正仿宋_GB2312" w:cs="方正仿宋_GB2312"/>
          <w:b/>
          <w:bCs/>
          <w:color w:val="auto"/>
          <w:kern w:val="0"/>
          <w:sz w:val="22"/>
          <w:szCs w:val="22"/>
          <w:highlight w:val="none"/>
          <w:lang w:val="zh-CN" w:bidi="zh-CN"/>
        </w:rPr>
        <w:t>附</w:t>
      </w:r>
      <w:r>
        <w:rPr>
          <w:rFonts w:hint="eastAsia" w:ascii="方正仿宋_GB2312" w:hAnsi="方正仿宋_GB2312" w:eastAsia="方正仿宋_GB2312" w:cs="方正仿宋_GB2312"/>
          <w:b/>
          <w:bCs/>
          <w:color w:val="auto"/>
          <w:kern w:val="0"/>
          <w:sz w:val="22"/>
          <w:szCs w:val="22"/>
          <w:highlight w:val="none"/>
          <w:lang w:val="en-US" w:bidi="zh-CN"/>
        </w:rPr>
        <w:t>件2</w:t>
      </w:r>
    </w:p>
    <w:p w14:paraId="3B7B9FE6">
      <w:pPr>
        <w:pStyle w:val="3"/>
        <w:ind w:left="0" w:leftChars="0" w:firstLine="0" w:firstLineChars="0"/>
        <w:jc w:val="center"/>
        <w:rPr>
          <w:rFonts w:hint="eastAsia" w:ascii="方正仿宋_GB2312" w:hAnsi="方正仿宋_GB2312" w:eastAsia="方正仿宋_GB2312" w:cs="方正仿宋_GB2312"/>
          <w:b/>
          <w:bCs/>
          <w:color w:val="auto"/>
          <w:kern w:val="0"/>
          <w:sz w:val="22"/>
          <w:szCs w:val="22"/>
          <w:highlight w:val="none"/>
          <w:lang w:val="en-US" w:bidi="zh-CN"/>
        </w:rPr>
      </w:pPr>
      <w:r>
        <w:rPr>
          <w:rFonts w:hint="eastAsia" w:ascii="方正仿宋_GB2312" w:hAnsi="方正仿宋_GB2312" w:eastAsia="方正仿宋_GB2312" w:cs="方正仿宋_GB2312"/>
          <w:b/>
          <w:bCs/>
          <w:color w:val="auto"/>
          <w:kern w:val="0"/>
          <w:sz w:val="22"/>
          <w:szCs w:val="22"/>
          <w:highlight w:val="none"/>
          <w:lang w:val="en-US" w:bidi="zh-CN"/>
        </w:rPr>
        <w:t>富平县130家示范单位名单</w:t>
      </w:r>
    </w:p>
    <w:tbl>
      <w:tblPr>
        <w:tblStyle w:val="7"/>
        <w:tblW w:w="90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66"/>
        <w:gridCol w:w="7901"/>
      </w:tblGrid>
      <w:tr w14:paraId="52064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9067" w:type="dxa"/>
            <w:gridSpan w:val="2"/>
            <w:noWrap w:val="0"/>
            <w:vAlign w:val="center"/>
          </w:tcPr>
          <w:p w14:paraId="313E079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 xml:space="preserve">  机关单位</w:t>
            </w:r>
          </w:p>
        </w:tc>
      </w:tr>
      <w:tr w14:paraId="2662B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EE0DCB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序号</w:t>
            </w:r>
          </w:p>
        </w:tc>
        <w:tc>
          <w:tcPr>
            <w:tcW w:w="7901" w:type="dxa"/>
            <w:noWrap w:val="0"/>
            <w:vAlign w:val="center"/>
          </w:tcPr>
          <w:p w14:paraId="433952B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单位名称</w:t>
            </w:r>
          </w:p>
        </w:tc>
      </w:tr>
      <w:tr w14:paraId="127CE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5A4F33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w:t>
            </w:r>
          </w:p>
        </w:tc>
        <w:tc>
          <w:tcPr>
            <w:tcW w:w="7901" w:type="dxa"/>
            <w:noWrap w:val="0"/>
            <w:vAlign w:val="center"/>
          </w:tcPr>
          <w:p w14:paraId="0714128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县委办</w:t>
            </w:r>
          </w:p>
        </w:tc>
      </w:tr>
      <w:tr w14:paraId="233C6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166F69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w:t>
            </w:r>
          </w:p>
        </w:tc>
        <w:tc>
          <w:tcPr>
            <w:tcW w:w="7901" w:type="dxa"/>
            <w:noWrap w:val="0"/>
            <w:vAlign w:val="center"/>
          </w:tcPr>
          <w:p w14:paraId="0C3F2F0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政府办</w:t>
            </w:r>
          </w:p>
        </w:tc>
      </w:tr>
      <w:tr w14:paraId="0F590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66" w:type="dxa"/>
            <w:noWrap w:val="0"/>
            <w:vAlign w:val="center"/>
          </w:tcPr>
          <w:p w14:paraId="5BD18DF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w:t>
            </w:r>
          </w:p>
        </w:tc>
        <w:tc>
          <w:tcPr>
            <w:tcW w:w="7901" w:type="dxa"/>
            <w:noWrap w:val="0"/>
            <w:vAlign w:val="center"/>
          </w:tcPr>
          <w:p w14:paraId="671ADDE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政协办</w:t>
            </w:r>
          </w:p>
        </w:tc>
      </w:tr>
      <w:tr w14:paraId="4FEB0B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ADE1D8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w:t>
            </w:r>
          </w:p>
        </w:tc>
        <w:tc>
          <w:tcPr>
            <w:tcW w:w="7901" w:type="dxa"/>
            <w:noWrap w:val="0"/>
            <w:vAlign w:val="center"/>
          </w:tcPr>
          <w:p w14:paraId="43E7B1E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县纪委</w:t>
            </w:r>
          </w:p>
        </w:tc>
      </w:tr>
      <w:tr w14:paraId="00981A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42F561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5</w:t>
            </w:r>
          </w:p>
        </w:tc>
        <w:tc>
          <w:tcPr>
            <w:tcW w:w="7901" w:type="dxa"/>
            <w:noWrap w:val="0"/>
            <w:vAlign w:val="center"/>
          </w:tcPr>
          <w:p w14:paraId="5241BE4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检察院</w:t>
            </w:r>
          </w:p>
        </w:tc>
      </w:tr>
      <w:tr w14:paraId="6E3A8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3E6C7B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6</w:t>
            </w:r>
          </w:p>
        </w:tc>
        <w:tc>
          <w:tcPr>
            <w:tcW w:w="7901" w:type="dxa"/>
            <w:noWrap w:val="0"/>
            <w:vAlign w:val="center"/>
          </w:tcPr>
          <w:p w14:paraId="13E3574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法院</w:t>
            </w:r>
          </w:p>
        </w:tc>
      </w:tr>
      <w:tr w14:paraId="7FC53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F2C6A0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7</w:t>
            </w:r>
          </w:p>
        </w:tc>
        <w:tc>
          <w:tcPr>
            <w:tcW w:w="7901" w:type="dxa"/>
            <w:noWrap w:val="0"/>
            <w:vAlign w:val="center"/>
          </w:tcPr>
          <w:p w14:paraId="1A2219A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住建局</w:t>
            </w:r>
          </w:p>
        </w:tc>
      </w:tr>
      <w:tr w14:paraId="73BFA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610317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8</w:t>
            </w:r>
          </w:p>
        </w:tc>
        <w:tc>
          <w:tcPr>
            <w:tcW w:w="7901" w:type="dxa"/>
            <w:noWrap w:val="0"/>
            <w:vAlign w:val="center"/>
          </w:tcPr>
          <w:p w14:paraId="6F10F5E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巡察办</w:t>
            </w:r>
          </w:p>
        </w:tc>
      </w:tr>
      <w:tr w14:paraId="2E743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101EC2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9</w:t>
            </w:r>
          </w:p>
        </w:tc>
        <w:tc>
          <w:tcPr>
            <w:tcW w:w="7901" w:type="dxa"/>
            <w:noWrap w:val="0"/>
            <w:vAlign w:val="center"/>
          </w:tcPr>
          <w:p w14:paraId="48A8823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总工会</w:t>
            </w:r>
          </w:p>
        </w:tc>
      </w:tr>
      <w:tr w14:paraId="411A5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AF3F5C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10</w:t>
            </w:r>
          </w:p>
        </w:tc>
        <w:tc>
          <w:tcPr>
            <w:tcW w:w="7901" w:type="dxa"/>
            <w:noWrap w:val="0"/>
            <w:vAlign w:val="center"/>
          </w:tcPr>
          <w:p w14:paraId="3CB45E50">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人武部</w:t>
            </w:r>
          </w:p>
        </w:tc>
      </w:tr>
      <w:tr w14:paraId="12814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8B0C6A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11</w:t>
            </w:r>
          </w:p>
        </w:tc>
        <w:tc>
          <w:tcPr>
            <w:tcW w:w="7901" w:type="dxa"/>
            <w:noWrap w:val="0"/>
            <w:vAlign w:val="center"/>
          </w:tcPr>
          <w:p w14:paraId="561EC66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干部学院</w:t>
            </w:r>
          </w:p>
        </w:tc>
      </w:tr>
      <w:tr w14:paraId="6BEFC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9038F0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12</w:t>
            </w:r>
          </w:p>
        </w:tc>
        <w:tc>
          <w:tcPr>
            <w:tcW w:w="7901" w:type="dxa"/>
            <w:noWrap w:val="0"/>
            <w:vAlign w:val="center"/>
          </w:tcPr>
          <w:p w14:paraId="0E63327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公安局</w:t>
            </w:r>
          </w:p>
        </w:tc>
      </w:tr>
      <w:tr w14:paraId="2B561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A2F8C8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13</w:t>
            </w:r>
          </w:p>
        </w:tc>
        <w:tc>
          <w:tcPr>
            <w:tcW w:w="7901" w:type="dxa"/>
            <w:noWrap w:val="0"/>
            <w:vAlign w:val="center"/>
          </w:tcPr>
          <w:p w14:paraId="55E0B2F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财政局</w:t>
            </w:r>
          </w:p>
        </w:tc>
      </w:tr>
      <w:tr w14:paraId="2B1D1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BB363C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14</w:t>
            </w:r>
          </w:p>
        </w:tc>
        <w:tc>
          <w:tcPr>
            <w:tcW w:w="7901" w:type="dxa"/>
            <w:noWrap w:val="0"/>
            <w:vAlign w:val="center"/>
          </w:tcPr>
          <w:p w14:paraId="5870625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教育局</w:t>
            </w:r>
          </w:p>
        </w:tc>
      </w:tr>
      <w:tr w14:paraId="4C05B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7E7D48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15</w:t>
            </w:r>
          </w:p>
        </w:tc>
        <w:tc>
          <w:tcPr>
            <w:tcW w:w="7901" w:type="dxa"/>
            <w:noWrap w:val="0"/>
            <w:vAlign w:val="center"/>
          </w:tcPr>
          <w:p w14:paraId="2127FFC7">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自然资源局</w:t>
            </w:r>
          </w:p>
        </w:tc>
      </w:tr>
      <w:tr w14:paraId="47B2C8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9466FB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16</w:t>
            </w:r>
          </w:p>
        </w:tc>
        <w:tc>
          <w:tcPr>
            <w:tcW w:w="7901" w:type="dxa"/>
            <w:noWrap w:val="0"/>
            <w:vAlign w:val="center"/>
          </w:tcPr>
          <w:p w14:paraId="1AFF179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交通局</w:t>
            </w:r>
          </w:p>
        </w:tc>
      </w:tr>
      <w:tr w14:paraId="017EA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0CE32D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17</w:t>
            </w:r>
          </w:p>
        </w:tc>
        <w:tc>
          <w:tcPr>
            <w:tcW w:w="7901" w:type="dxa"/>
            <w:noWrap w:val="0"/>
            <w:vAlign w:val="center"/>
          </w:tcPr>
          <w:p w14:paraId="7AD88DA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农业农村局</w:t>
            </w:r>
          </w:p>
        </w:tc>
      </w:tr>
      <w:tr w14:paraId="37921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19B17C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18</w:t>
            </w:r>
          </w:p>
        </w:tc>
        <w:tc>
          <w:tcPr>
            <w:tcW w:w="7901" w:type="dxa"/>
            <w:noWrap w:val="0"/>
            <w:vAlign w:val="center"/>
          </w:tcPr>
          <w:p w14:paraId="149890A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文化和旅游局</w:t>
            </w:r>
          </w:p>
        </w:tc>
      </w:tr>
      <w:tr w14:paraId="4681B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jc w:val="center"/>
        </w:trPr>
        <w:tc>
          <w:tcPr>
            <w:tcW w:w="1166" w:type="dxa"/>
            <w:noWrap w:val="0"/>
            <w:vAlign w:val="center"/>
          </w:tcPr>
          <w:p w14:paraId="708113D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19</w:t>
            </w:r>
          </w:p>
        </w:tc>
        <w:tc>
          <w:tcPr>
            <w:tcW w:w="7901" w:type="dxa"/>
            <w:noWrap w:val="0"/>
            <w:vAlign w:val="center"/>
          </w:tcPr>
          <w:p w14:paraId="13F849A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卫健局</w:t>
            </w:r>
          </w:p>
        </w:tc>
      </w:tr>
      <w:tr w14:paraId="7D800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5AA9BE9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20</w:t>
            </w:r>
          </w:p>
        </w:tc>
        <w:tc>
          <w:tcPr>
            <w:tcW w:w="7901" w:type="dxa"/>
            <w:noWrap w:val="0"/>
            <w:vAlign w:val="center"/>
          </w:tcPr>
          <w:p w14:paraId="41B7FA5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市场监督管理局</w:t>
            </w:r>
          </w:p>
        </w:tc>
      </w:tr>
      <w:tr w14:paraId="0A66E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530036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21</w:t>
            </w:r>
          </w:p>
        </w:tc>
        <w:tc>
          <w:tcPr>
            <w:tcW w:w="7901" w:type="dxa"/>
            <w:noWrap w:val="0"/>
            <w:vAlign w:val="center"/>
          </w:tcPr>
          <w:p w14:paraId="33F6426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城市管理执法局</w:t>
            </w:r>
          </w:p>
        </w:tc>
      </w:tr>
      <w:tr w14:paraId="47CE6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9B8536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22</w:t>
            </w:r>
          </w:p>
        </w:tc>
        <w:tc>
          <w:tcPr>
            <w:tcW w:w="7901" w:type="dxa"/>
            <w:noWrap w:val="0"/>
            <w:vAlign w:val="center"/>
          </w:tcPr>
          <w:p w14:paraId="597BF71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审计局</w:t>
            </w:r>
          </w:p>
        </w:tc>
      </w:tr>
      <w:tr w14:paraId="11E83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B7EF7A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23</w:t>
            </w:r>
          </w:p>
        </w:tc>
        <w:tc>
          <w:tcPr>
            <w:tcW w:w="7901" w:type="dxa"/>
            <w:noWrap w:val="0"/>
            <w:vAlign w:val="center"/>
          </w:tcPr>
          <w:p w14:paraId="32CD986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信访局</w:t>
            </w:r>
          </w:p>
        </w:tc>
      </w:tr>
      <w:tr w14:paraId="7F3B5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AEC8887">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24</w:t>
            </w:r>
          </w:p>
        </w:tc>
        <w:tc>
          <w:tcPr>
            <w:tcW w:w="7901" w:type="dxa"/>
            <w:noWrap w:val="0"/>
            <w:vAlign w:val="center"/>
          </w:tcPr>
          <w:p w14:paraId="30C7743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水务局</w:t>
            </w:r>
          </w:p>
        </w:tc>
      </w:tr>
      <w:tr w14:paraId="06952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C0AD54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25</w:t>
            </w:r>
          </w:p>
        </w:tc>
        <w:tc>
          <w:tcPr>
            <w:tcW w:w="7901" w:type="dxa"/>
            <w:noWrap w:val="0"/>
            <w:vAlign w:val="center"/>
          </w:tcPr>
          <w:p w14:paraId="1B7964D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人社局</w:t>
            </w:r>
          </w:p>
        </w:tc>
      </w:tr>
      <w:tr w14:paraId="5B9738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006611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26</w:t>
            </w:r>
          </w:p>
        </w:tc>
        <w:tc>
          <w:tcPr>
            <w:tcW w:w="7901" w:type="dxa"/>
            <w:noWrap w:val="0"/>
            <w:vAlign w:val="center"/>
          </w:tcPr>
          <w:p w14:paraId="056D2DE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民政局</w:t>
            </w:r>
          </w:p>
        </w:tc>
      </w:tr>
      <w:tr w14:paraId="10953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225BE2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27</w:t>
            </w:r>
          </w:p>
        </w:tc>
        <w:tc>
          <w:tcPr>
            <w:tcW w:w="7901" w:type="dxa"/>
            <w:noWrap w:val="0"/>
            <w:vAlign w:val="center"/>
          </w:tcPr>
          <w:p w14:paraId="4255499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粮食局</w:t>
            </w:r>
          </w:p>
        </w:tc>
      </w:tr>
      <w:tr w14:paraId="6FAF6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4C7ED0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28</w:t>
            </w:r>
          </w:p>
        </w:tc>
        <w:tc>
          <w:tcPr>
            <w:tcW w:w="7901" w:type="dxa"/>
            <w:noWrap w:val="0"/>
            <w:vAlign w:val="center"/>
          </w:tcPr>
          <w:p w14:paraId="65E5544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林业中心</w:t>
            </w:r>
          </w:p>
        </w:tc>
      </w:tr>
      <w:tr w14:paraId="1948E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5320B45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29</w:t>
            </w:r>
          </w:p>
        </w:tc>
        <w:tc>
          <w:tcPr>
            <w:tcW w:w="7901" w:type="dxa"/>
            <w:noWrap w:val="0"/>
            <w:vAlign w:val="center"/>
          </w:tcPr>
          <w:p w14:paraId="35104F7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应急管理局</w:t>
            </w:r>
          </w:p>
        </w:tc>
      </w:tr>
      <w:tr w14:paraId="54E11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8BD4BE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30</w:t>
            </w:r>
          </w:p>
        </w:tc>
        <w:tc>
          <w:tcPr>
            <w:tcW w:w="7901" w:type="dxa"/>
            <w:noWrap w:val="0"/>
            <w:vAlign w:val="center"/>
          </w:tcPr>
          <w:p w14:paraId="590DD8F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退役军人事务局（军休所）</w:t>
            </w:r>
          </w:p>
        </w:tc>
      </w:tr>
      <w:tr w14:paraId="16B9D5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F271EE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31</w:t>
            </w:r>
          </w:p>
        </w:tc>
        <w:tc>
          <w:tcPr>
            <w:tcW w:w="7901" w:type="dxa"/>
            <w:noWrap w:val="0"/>
            <w:vAlign w:val="center"/>
          </w:tcPr>
          <w:p w14:paraId="65C8445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融媒体中心</w:t>
            </w:r>
          </w:p>
        </w:tc>
      </w:tr>
      <w:tr w14:paraId="493427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7080A97">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32</w:t>
            </w:r>
          </w:p>
        </w:tc>
        <w:tc>
          <w:tcPr>
            <w:tcW w:w="7901" w:type="dxa"/>
            <w:noWrap w:val="0"/>
            <w:vAlign w:val="center"/>
          </w:tcPr>
          <w:p w14:paraId="5F4BBCB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行政服务中心</w:t>
            </w:r>
          </w:p>
        </w:tc>
      </w:tr>
      <w:tr w14:paraId="683D7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E18786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33</w:t>
            </w:r>
          </w:p>
        </w:tc>
        <w:tc>
          <w:tcPr>
            <w:tcW w:w="7901" w:type="dxa"/>
            <w:noWrap w:val="0"/>
            <w:vAlign w:val="center"/>
          </w:tcPr>
          <w:p w14:paraId="55D1C24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交警大队</w:t>
            </w:r>
          </w:p>
        </w:tc>
      </w:tr>
      <w:tr w14:paraId="43FF5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12A944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34</w:t>
            </w:r>
          </w:p>
        </w:tc>
        <w:tc>
          <w:tcPr>
            <w:tcW w:w="7901" w:type="dxa"/>
            <w:noWrap w:val="0"/>
            <w:vAlign w:val="center"/>
          </w:tcPr>
          <w:p w14:paraId="3CB1C98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环境卫生管理中心</w:t>
            </w:r>
          </w:p>
        </w:tc>
      </w:tr>
      <w:tr w14:paraId="19198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F9FAF7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35</w:t>
            </w:r>
          </w:p>
        </w:tc>
        <w:tc>
          <w:tcPr>
            <w:tcW w:w="7901" w:type="dxa"/>
            <w:noWrap w:val="0"/>
            <w:vAlign w:val="center"/>
          </w:tcPr>
          <w:p w14:paraId="0EEEE66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体育中心</w:t>
            </w:r>
          </w:p>
        </w:tc>
      </w:tr>
      <w:tr w14:paraId="7E5F89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DB6DDC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36</w:t>
            </w:r>
          </w:p>
        </w:tc>
        <w:tc>
          <w:tcPr>
            <w:tcW w:w="7901" w:type="dxa"/>
            <w:noWrap w:val="0"/>
            <w:vAlign w:val="center"/>
          </w:tcPr>
          <w:p w14:paraId="3A5E529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城关街道办</w:t>
            </w:r>
          </w:p>
        </w:tc>
      </w:tr>
      <w:tr w14:paraId="418E8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413A7F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37</w:t>
            </w:r>
          </w:p>
        </w:tc>
        <w:tc>
          <w:tcPr>
            <w:tcW w:w="7901" w:type="dxa"/>
            <w:noWrap w:val="0"/>
            <w:vAlign w:val="center"/>
          </w:tcPr>
          <w:p w14:paraId="260487E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东华街道办</w:t>
            </w:r>
          </w:p>
        </w:tc>
      </w:tr>
      <w:tr w14:paraId="6123F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09D381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38</w:t>
            </w:r>
          </w:p>
        </w:tc>
        <w:tc>
          <w:tcPr>
            <w:tcW w:w="7901" w:type="dxa"/>
            <w:noWrap w:val="0"/>
            <w:vAlign w:val="center"/>
          </w:tcPr>
          <w:p w14:paraId="3316F7C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迤山派出所</w:t>
            </w:r>
          </w:p>
        </w:tc>
      </w:tr>
      <w:tr w14:paraId="6C4F6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BC014A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39</w:t>
            </w:r>
          </w:p>
        </w:tc>
        <w:tc>
          <w:tcPr>
            <w:tcW w:w="7901" w:type="dxa"/>
            <w:noWrap w:val="0"/>
            <w:vAlign w:val="center"/>
          </w:tcPr>
          <w:p w14:paraId="1D567B8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城关派出所</w:t>
            </w:r>
          </w:p>
        </w:tc>
      </w:tr>
      <w:tr w14:paraId="768CF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413FDA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40</w:t>
            </w:r>
          </w:p>
        </w:tc>
        <w:tc>
          <w:tcPr>
            <w:tcW w:w="7901" w:type="dxa"/>
            <w:noWrap w:val="0"/>
            <w:vAlign w:val="center"/>
          </w:tcPr>
          <w:p w14:paraId="089050D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富平汽车站</w:t>
            </w:r>
          </w:p>
        </w:tc>
      </w:tr>
      <w:tr w14:paraId="1B261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9B26B8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41</w:t>
            </w:r>
          </w:p>
        </w:tc>
        <w:tc>
          <w:tcPr>
            <w:tcW w:w="7901" w:type="dxa"/>
            <w:noWrap w:val="0"/>
            <w:vAlign w:val="center"/>
          </w:tcPr>
          <w:p w14:paraId="4DDB0FD7">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市场监督管理局</w:t>
            </w:r>
            <w:r>
              <w:rPr>
                <w:rFonts w:hint="eastAsia" w:ascii="方正仿宋_GB2312" w:hAnsi="方正仿宋_GB2312" w:eastAsia="方正仿宋_GB2312" w:cs="方正仿宋_GB2312"/>
                <w:color w:val="auto"/>
                <w:sz w:val="22"/>
                <w:szCs w:val="22"/>
                <w:highlight w:val="none"/>
                <w:lang w:eastAsia="en-US"/>
              </w:rPr>
              <w:t>城</w:t>
            </w:r>
            <w:r>
              <w:rPr>
                <w:rFonts w:hint="eastAsia" w:ascii="方正仿宋_GB2312" w:hAnsi="方正仿宋_GB2312" w:eastAsia="方正仿宋_GB2312" w:cs="方正仿宋_GB2312"/>
                <w:color w:val="auto"/>
                <w:sz w:val="22"/>
                <w:szCs w:val="22"/>
                <w:highlight w:val="none"/>
                <w:lang w:val="en-US" w:eastAsia="zh-CN"/>
              </w:rPr>
              <w:t>关</w:t>
            </w:r>
            <w:r>
              <w:rPr>
                <w:rFonts w:hint="eastAsia" w:ascii="方正仿宋_GB2312" w:hAnsi="方正仿宋_GB2312" w:eastAsia="方正仿宋_GB2312" w:cs="方正仿宋_GB2312"/>
                <w:color w:val="auto"/>
                <w:sz w:val="22"/>
                <w:szCs w:val="22"/>
                <w:highlight w:val="none"/>
                <w:lang w:eastAsia="en-US"/>
              </w:rPr>
              <w:t>所</w:t>
            </w:r>
          </w:p>
        </w:tc>
      </w:tr>
      <w:tr w14:paraId="1BAA78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0A62A8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42</w:t>
            </w:r>
          </w:p>
        </w:tc>
        <w:tc>
          <w:tcPr>
            <w:tcW w:w="7901" w:type="dxa"/>
            <w:noWrap w:val="0"/>
            <w:vAlign w:val="center"/>
          </w:tcPr>
          <w:p w14:paraId="73F096F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富平县检验检测中心</w:t>
            </w:r>
          </w:p>
        </w:tc>
      </w:tr>
      <w:tr w14:paraId="45633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F81037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43</w:t>
            </w:r>
          </w:p>
        </w:tc>
        <w:tc>
          <w:tcPr>
            <w:tcW w:w="7901" w:type="dxa"/>
            <w:noWrap w:val="0"/>
            <w:vAlign w:val="center"/>
          </w:tcPr>
          <w:p w14:paraId="711E5EF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农村公路管理局</w:t>
            </w:r>
          </w:p>
        </w:tc>
      </w:tr>
      <w:tr w14:paraId="24991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9067" w:type="dxa"/>
            <w:gridSpan w:val="2"/>
            <w:noWrap w:val="0"/>
            <w:vAlign w:val="center"/>
          </w:tcPr>
          <w:p w14:paraId="1E94611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学校</w:t>
            </w:r>
          </w:p>
        </w:tc>
      </w:tr>
      <w:tr w14:paraId="254B7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E43A49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序号</w:t>
            </w:r>
          </w:p>
        </w:tc>
        <w:tc>
          <w:tcPr>
            <w:tcW w:w="7901" w:type="dxa"/>
            <w:noWrap w:val="0"/>
            <w:vAlign w:val="center"/>
          </w:tcPr>
          <w:p w14:paraId="03FE0BF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学校名称</w:t>
            </w:r>
          </w:p>
        </w:tc>
      </w:tr>
      <w:tr w14:paraId="344A1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BD1172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w:t>
            </w:r>
          </w:p>
        </w:tc>
        <w:tc>
          <w:tcPr>
            <w:tcW w:w="7901" w:type="dxa"/>
            <w:noWrap w:val="0"/>
            <w:vAlign w:val="center"/>
          </w:tcPr>
          <w:p w14:paraId="10AB529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迤山中学</w:t>
            </w:r>
          </w:p>
        </w:tc>
      </w:tr>
      <w:tr w14:paraId="1B53F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5342884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w:t>
            </w:r>
          </w:p>
        </w:tc>
        <w:tc>
          <w:tcPr>
            <w:tcW w:w="7901" w:type="dxa"/>
            <w:noWrap w:val="0"/>
            <w:vAlign w:val="center"/>
          </w:tcPr>
          <w:p w14:paraId="4B05B1A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富平中学</w:t>
            </w:r>
          </w:p>
        </w:tc>
      </w:tr>
      <w:tr w14:paraId="3EA41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F3F1D2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w:t>
            </w:r>
          </w:p>
        </w:tc>
        <w:tc>
          <w:tcPr>
            <w:tcW w:w="7901" w:type="dxa"/>
            <w:noWrap w:val="0"/>
            <w:vAlign w:val="center"/>
          </w:tcPr>
          <w:p w14:paraId="18287C6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实验中学</w:t>
            </w:r>
          </w:p>
        </w:tc>
      </w:tr>
      <w:tr w14:paraId="54F3B4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82B196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w:t>
            </w:r>
          </w:p>
        </w:tc>
        <w:tc>
          <w:tcPr>
            <w:tcW w:w="7901" w:type="dxa"/>
            <w:noWrap w:val="0"/>
            <w:vAlign w:val="center"/>
          </w:tcPr>
          <w:p w14:paraId="1859BDE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东上官中学</w:t>
            </w:r>
          </w:p>
        </w:tc>
      </w:tr>
      <w:tr w14:paraId="62BC9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D54B9E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5</w:t>
            </w:r>
          </w:p>
        </w:tc>
        <w:tc>
          <w:tcPr>
            <w:tcW w:w="7901" w:type="dxa"/>
            <w:noWrap w:val="0"/>
            <w:vAlign w:val="center"/>
          </w:tcPr>
          <w:p w14:paraId="6436FFA7">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莲湖初级中学</w:t>
            </w:r>
          </w:p>
        </w:tc>
      </w:tr>
      <w:tr w14:paraId="605B25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5167AFD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6</w:t>
            </w:r>
          </w:p>
        </w:tc>
        <w:tc>
          <w:tcPr>
            <w:tcW w:w="7901" w:type="dxa"/>
            <w:noWrap w:val="0"/>
            <w:vAlign w:val="center"/>
          </w:tcPr>
          <w:p w14:paraId="4A92E92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东区小学</w:t>
            </w:r>
          </w:p>
        </w:tc>
      </w:tr>
      <w:tr w14:paraId="397F0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3AFEA3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7</w:t>
            </w:r>
          </w:p>
        </w:tc>
        <w:tc>
          <w:tcPr>
            <w:tcW w:w="7901" w:type="dxa"/>
            <w:noWrap w:val="0"/>
            <w:vAlign w:val="center"/>
          </w:tcPr>
          <w:p w14:paraId="06ABA4B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车站小学</w:t>
            </w:r>
          </w:p>
        </w:tc>
      </w:tr>
      <w:tr w14:paraId="36DB7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CE2C93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8</w:t>
            </w:r>
          </w:p>
        </w:tc>
        <w:tc>
          <w:tcPr>
            <w:tcW w:w="7901" w:type="dxa"/>
            <w:noWrap w:val="0"/>
            <w:vAlign w:val="center"/>
          </w:tcPr>
          <w:p w14:paraId="2674FF3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莲湖学校</w:t>
            </w:r>
          </w:p>
        </w:tc>
      </w:tr>
      <w:tr w14:paraId="7BEEA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A3504A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9</w:t>
            </w:r>
          </w:p>
        </w:tc>
        <w:tc>
          <w:tcPr>
            <w:tcW w:w="7901" w:type="dxa"/>
            <w:noWrap w:val="0"/>
            <w:vAlign w:val="center"/>
          </w:tcPr>
          <w:p w14:paraId="16159CB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实验小学</w:t>
            </w:r>
          </w:p>
        </w:tc>
      </w:tr>
      <w:tr w14:paraId="0CEF7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1E65A6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10</w:t>
            </w:r>
          </w:p>
        </w:tc>
        <w:tc>
          <w:tcPr>
            <w:tcW w:w="7901" w:type="dxa"/>
            <w:noWrap w:val="0"/>
            <w:vAlign w:val="center"/>
          </w:tcPr>
          <w:p w14:paraId="42BF02F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东上官小学</w:t>
            </w:r>
          </w:p>
        </w:tc>
      </w:tr>
      <w:tr w14:paraId="2BE92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D57249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11</w:t>
            </w:r>
          </w:p>
        </w:tc>
        <w:tc>
          <w:tcPr>
            <w:tcW w:w="7901" w:type="dxa"/>
            <w:noWrap w:val="0"/>
            <w:vAlign w:val="center"/>
          </w:tcPr>
          <w:p w14:paraId="134CD22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富闽友谊小学</w:t>
            </w:r>
          </w:p>
        </w:tc>
      </w:tr>
      <w:tr w14:paraId="75070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F441670">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12</w:t>
            </w:r>
          </w:p>
        </w:tc>
        <w:tc>
          <w:tcPr>
            <w:tcW w:w="7901" w:type="dxa"/>
            <w:noWrap w:val="0"/>
            <w:vAlign w:val="center"/>
          </w:tcPr>
          <w:p w14:paraId="3E3FC75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富平县幼儿园</w:t>
            </w:r>
          </w:p>
        </w:tc>
      </w:tr>
      <w:tr w14:paraId="7A4CC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F1AF10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13</w:t>
            </w:r>
          </w:p>
        </w:tc>
        <w:tc>
          <w:tcPr>
            <w:tcW w:w="7901" w:type="dxa"/>
            <w:noWrap w:val="0"/>
            <w:vAlign w:val="center"/>
          </w:tcPr>
          <w:p w14:paraId="531CF39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实验幼儿园</w:t>
            </w:r>
          </w:p>
        </w:tc>
      </w:tr>
      <w:tr w14:paraId="580CA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1245FA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14</w:t>
            </w:r>
          </w:p>
        </w:tc>
        <w:tc>
          <w:tcPr>
            <w:tcW w:w="7901" w:type="dxa"/>
            <w:noWrap w:val="0"/>
            <w:vAlign w:val="center"/>
          </w:tcPr>
          <w:p w14:paraId="7701FFC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和谐幼儿园</w:t>
            </w:r>
          </w:p>
        </w:tc>
      </w:tr>
      <w:tr w14:paraId="234AD7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7434B2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15</w:t>
            </w:r>
          </w:p>
        </w:tc>
        <w:tc>
          <w:tcPr>
            <w:tcW w:w="7901" w:type="dxa"/>
            <w:noWrap w:val="0"/>
            <w:vAlign w:val="center"/>
          </w:tcPr>
          <w:p w14:paraId="164A854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eastAsia="en-US" w:bidi="ar"/>
              </w:rPr>
              <w:t>富闽友谊幼儿园</w:t>
            </w:r>
          </w:p>
        </w:tc>
      </w:tr>
      <w:tr w14:paraId="1A873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BB60BE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16</w:t>
            </w:r>
          </w:p>
        </w:tc>
        <w:tc>
          <w:tcPr>
            <w:tcW w:w="7901" w:type="dxa"/>
            <w:noWrap w:val="0"/>
            <w:vAlign w:val="center"/>
          </w:tcPr>
          <w:p w14:paraId="4B8CD7C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eastAsia="en-US" w:bidi="ar"/>
              </w:rPr>
              <w:t>万科滨河四季幼儿园</w:t>
            </w:r>
          </w:p>
        </w:tc>
      </w:tr>
      <w:tr w14:paraId="72CC4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520AFB4E">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17</w:t>
            </w:r>
          </w:p>
        </w:tc>
        <w:tc>
          <w:tcPr>
            <w:tcW w:w="7901" w:type="dxa"/>
            <w:noWrap w:val="0"/>
            <w:vAlign w:val="center"/>
          </w:tcPr>
          <w:p w14:paraId="0C9667A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val="en-US" w:eastAsia="en-US" w:bidi="ar"/>
              </w:rPr>
              <w:t>怀德初中</w:t>
            </w:r>
          </w:p>
        </w:tc>
      </w:tr>
      <w:tr w14:paraId="70C6D5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FD834F0">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18</w:t>
            </w:r>
          </w:p>
        </w:tc>
        <w:tc>
          <w:tcPr>
            <w:tcW w:w="7901" w:type="dxa"/>
            <w:noWrap w:val="0"/>
            <w:vAlign w:val="center"/>
          </w:tcPr>
          <w:p w14:paraId="391954F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val="en-US" w:eastAsia="en-US" w:bidi="ar"/>
              </w:rPr>
              <w:t>广育小学</w:t>
            </w:r>
          </w:p>
        </w:tc>
      </w:tr>
      <w:tr w14:paraId="3A2F3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1CC533C">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19</w:t>
            </w:r>
          </w:p>
        </w:tc>
        <w:tc>
          <w:tcPr>
            <w:tcW w:w="7901" w:type="dxa"/>
            <w:noWrap w:val="0"/>
            <w:vAlign w:val="center"/>
          </w:tcPr>
          <w:p w14:paraId="27DC869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val="en-US" w:eastAsia="en-US" w:bidi="ar"/>
              </w:rPr>
              <w:t>石川河初中</w:t>
            </w:r>
          </w:p>
        </w:tc>
      </w:tr>
      <w:tr w14:paraId="35F4A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4F3D540">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20</w:t>
            </w:r>
          </w:p>
        </w:tc>
        <w:tc>
          <w:tcPr>
            <w:tcW w:w="7901" w:type="dxa"/>
            <w:noWrap w:val="0"/>
            <w:vAlign w:val="center"/>
          </w:tcPr>
          <w:p w14:paraId="00B1F10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val="en-US" w:eastAsia="en-US" w:bidi="ar"/>
              </w:rPr>
              <w:t>石川河幼儿园</w:t>
            </w:r>
          </w:p>
        </w:tc>
      </w:tr>
      <w:tr w14:paraId="21AA82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0F32499">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21</w:t>
            </w:r>
          </w:p>
        </w:tc>
        <w:tc>
          <w:tcPr>
            <w:tcW w:w="7901" w:type="dxa"/>
            <w:noWrap w:val="0"/>
            <w:vAlign w:val="center"/>
          </w:tcPr>
          <w:p w14:paraId="592F91D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val="en-US" w:eastAsia="en-US" w:bidi="ar"/>
              </w:rPr>
              <w:t>怀德小学</w:t>
            </w:r>
          </w:p>
        </w:tc>
      </w:tr>
      <w:tr w14:paraId="6129B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A712BDC">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22</w:t>
            </w:r>
          </w:p>
        </w:tc>
        <w:tc>
          <w:tcPr>
            <w:tcW w:w="7901" w:type="dxa"/>
            <w:noWrap w:val="0"/>
            <w:vAlign w:val="center"/>
          </w:tcPr>
          <w:p w14:paraId="588B3E5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val="en-US" w:eastAsia="en-US" w:bidi="ar"/>
              </w:rPr>
              <w:t>城关学校</w:t>
            </w:r>
          </w:p>
        </w:tc>
      </w:tr>
      <w:tr w14:paraId="286FD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76321D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23</w:t>
            </w:r>
          </w:p>
        </w:tc>
        <w:tc>
          <w:tcPr>
            <w:tcW w:w="7901" w:type="dxa"/>
            <w:noWrap w:val="0"/>
            <w:vAlign w:val="center"/>
          </w:tcPr>
          <w:p w14:paraId="79788EA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val="en-US" w:eastAsia="en-US" w:bidi="ar"/>
              </w:rPr>
              <w:t>石川河小学</w:t>
            </w:r>
          </w:p>
        </w:tc>
      </w:tr>
      <w:tr w14:paraId="7D3D81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90B47ED">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24</w:t>
            </w:r>
          </w:p>
        </w:tc>
        <w:tc>
          <w:tcPr>
            <w:tcW w:w="7901" w:type="dxa"/>
            <w:noWrap w:val="0"/>
            <w:vAlign w:val="center"/>
          </w:tcPr>
          <w:p w14:paraId="129EA96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bidi="ar"/>
              </w:rPr>
            </w:pPr>
            <w:r>
              <w:rPr>
                <w:rFonts w:hint="eastAsia" w:ascii="方正仿宋_GB2312" w:hAnsi="方正仿宋_GB2312" w:eastAsia="方正仿宋_GB2312" w:cs="方正仿宋_GB2312"/>
                <w:color w:val="auto"/>
                <w:sz w:val="22"/>
                <w:szCs w:val="22"/>
                <w:highlight w:val="none"/>
                <w:lang w:val="en-US" w:eastAsia="en-US" w:bidi="ar"/>
              </w:rPr>
              <w:t>东华幼儿园</w:t>
            </w:r>
          </w:p>
        </w:tc>
      </w:tr>
      <w:tr w14:paraId="642E5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55CB59D8">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25</w:t>
            </w:r>
          </w:p>
        </w:tc>
        <w:tc>
          <w:tcPr>
            <w:tcW w:w="7901" w:type="dxa"/>
            <w:noWrap w:val="0"/>
            <w:vAlign w:val="center"/>
          </w:tcPr>
          <w:p w14:paraId="7EC964E0">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bidi="ar"/>
              </w:rPr>
            </w:pPr>
            <w:r>
              <w:rPr>
                <w:rFonts w:hint="eastAsia" w:ascii="方正仿宋_GB2312" w:hAnsi="方正仿宋_GB2312" w:eastAsia="方正仿宋_GB2312" w:cs="方正仿宋_GB2312"/>
                <w:color w:val="auto"/>
                <w:sz w:val="22"/>
                <w:szCs w:val="22"/>
                <w:highlight w:val="none"/>
                <w:lang w:val="en-US" w:eastAsia="zh-CN" w:bidi="ar"/>
              </w:rPr>
              <w:t>富平县职业教育中心</w:t>
            </w:r>
          </w:p>
        </w:tc>
      </w:tr>
      <w:tr w14:paraId="1674D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9067" w:type="dxa"/>
            <w:gridSpan w:val="2"/>
            <w:noWrap w:val="0"/>
            <w:vAlign w:val="center"/>
          </w:tcPr>
          <w:p w14:paraId="150FFE0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小区</w:t>
            </w:r>
          </w:p>
        </w:tc>
      </w:tr>
      <w:tr w14:paraId="69B73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52B65B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序号</w:t>
            </w:r>
          </w:p>
        </w:tc>
        <w:tc>
          <w:tcPr>
            <w:tcW w:w="7901" w:type="dxa"/>
            <w:noWrap w:val="0"/>
            <w:vAlign w:val="center"/>
          </w:tcPr>
          <w:p w14:paraId="253C57D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小区名称</w:t>
            </w:r>
          </w:p>
        </w:tc>
      </w:tr>
      <w:tr w14:paraId="1E73F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611634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w:t>
            </w:r>
          </w:p>
        </w:tc>
        <w:tc>
          <w:tcPr>
            <w:tcW w:w="7901" w:type="dxa"/>
            <w:noWrap w:val="0"/>
            <w:vAlign w:val="center"/>
          </w:tcPr>
          <w:p w14:paraId="3A7B261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和谐园</w:t>
            </w:r>
          </w:p>
        </w:tc>
      </w:tr>
      <w:tr w14:paraId="118C9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10E5C77">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w:t>
            </w:r>
          </w:p>
        </w:tc>
        <w:tc>
          <w:tcPr>
            <w:tcW w:w="7901" w:type="dxa"/>
            <w:noWrap w:val="0"/>
            <w:vAlign w:val="center"/>
          </w:tcPr>
          <w:p w14:paraId="2F491A4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状元府邸</w:t>
            </w:r>
          </w:p>
        </w:tc>
      </w:tr>
      <w:tr w14:paraId="73997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CE864A0">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w:t>
            </w:r>
          </w:p>
        </w:tc>
        <w:tc>
          <w:tcPr>
            <w:tcW w:w="7901" w:type="dxa"/>
            <w:noWrap w:val="0"/>
            <w:vAlign w:val="center"/>
          </w:tcPr>
          <w:p w14:paraId="3E50766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东方一品</w:t>
            </w:r>
          </w:p>
        </w:tc>
      </w:tr>
      <w:tr w14:paraId="75002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1C6EE8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w:t>
            </w:r>
          </w:p>
        </w:tc>
        <w:tc>
          <w:tcPr>
            <w:tcW w:w="7901" w:type="dxa"/>
            <w:noWrap w:val="0"/>
            <w:vAlign w:val="center"/>
          </w:tcPr>
          <w:p w14:paraId="363187B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秦正华府</w:t>
            </w:r>
          </w:p>
        </w:tc>
      </w:tr>
      <w:tr w14:paraId="1B3CD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9FC8DC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5</w:t>
            </w:r>
          </w:p>
        </w:tc>
        <w:tc>
          <w:tcPr>
            <w:tcW w:w="7901" w:type="dxa"/>
            <w:noWrap w:val="0"/>
            <w:vAlign w:val="center"/>
          </w:tcPr>
          <w:p w14:paraId="2EDB2E0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秦正公馆</w:t>
            </w:r>
          </w:p>
        </w:tc>
      </w:tr>
      <w:tr w14:paraId="7C955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4F17EB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6</w:t>
            </w:r>
          </w:p>
        </w:tc>
        <w:tc>
          <w:tcPr>
            <w:tcW w:w="7901" w:type="dxa"/>
            <w:noWrap w:val="0"/>
            <w:vAlign w:val="center"/>
          </w:tcPr>
          <w:p w14:paraId="3A30CBE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福星花园</w:t>
            </w:r>
          </w:p>
        </w:tc>
      </w:tr>
      <w:tr w14:paraId="0869E9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979542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rPr>
            </w:pPr>
            <w:r>
              <w:rPr>
                <w:rFonts w:hint="eastAsia" w:ascii="方正仿宋_GB2312" w:hAnsi="方正仿宋_GB2312" w:eastAsia="方正仿宋_GB2312" w:cs="方正仿宋_GB2312"/>
                <w:color w:val="auto"/>
                <w:sz w:val="22"/>
                <w:szCs w:val="22"/>
                <w:highlight w:val="none"/>
                <w:lang w:eastAsia="zh-CN"/>
              </w:rPr>
              <w:t>7</w:t>
            </w:r>
          </w:p>
        </w:tc>
        <w:tc>
          <w:tcPr>
            <w:tcW w:w="7901" w:type="dxa"/>
            <w:noWrap w:val="0"/>
            <w:vAlign w:val="center"/>
          </w:tcPr>
          <w:p w14:paraId="164EC05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color w:val="auto"/>
                <w:sz w:val="22"/>
                <w:szCs w:val="22"/>
                <w:highlight w:val="none"/>
                <w:lang w:eastAsia="zh-CN" w:bidi="ar"/>
              </w:rPr>
              <w:t>尚官坊</w:t>
            </w:r>
          </w:p>
        </w:tc>
      </w:tr>
      <w:tr w14:paraId="54432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510972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rPr>
            </w:pPr>
            <w:r>
              <w:rPr>
                <w:rFonts w:hint="eastAsia" w:ascii="方正仿宋_GB2312" w:hAnsi="方正仿宋_GB2312" w:eastAsia="方正仿宋_GB2312" w:cs="方正仿宋_GB2312"/>
                <w:color w:val="auto"/>
                <w:sz w:val="22"/>
                <w:szCs w:val="22"/>
                <w:highlight w:val="none"/>
                <w:lang w:eastAsia="zh-CN"/>
              </w:rPr>
              <w:t>8</w:t>
            </w:r>
          </w:p>
        </w:tc>
        <w:tc>
          <w:tcPr>
            <w:tcW w:w="7901" w:type="dxa"/>
            <w:noWrap w:val="0"/>
            <w:vAlign w:val="center"/>
          </w:tcPr>
          <w:p w14:paraId="2CD7B66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color w:val="auto"/>
                <w:sz w:val="22"/>
                <w:szCs w:val="22"/>
                <w:highlight w:val="none"/>
                <w:lang w:eastAsia="zh-CN" w:bidi="ar"/>
              </w:rPr>
              <w:t>烟草局</w:t>
            </w:r>
          </w:p>
        </w:tc>
      </w:tr>
      <w:tr w14:paraId="44873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E68CE8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rPr>
            </w:pPr>
            <w:r>
              <w:rPr>
                <w:rFonts w:hint="eastAsia" w:ascii="方正仿宋_GB2312" w:hAnsi="方正仿宋_GB2312" w:eastAsia="方正仿宋_GB2312" w:cs="方正仿宋_GB2312"/>
                <w:color w:val="auto"/>
                <w:sz w:val="22"/>
                <w:szCs w:val="22"/>
                <w:highlight w:val="none"/>
                <w:lang w:eastAsia="zh-CN"/>
              </w:rPr>
              <w:t>9</w:t>
            </w:r>
          </w:p>
        </w:tc>
        <w:tc>
          <w:tcPr>
            <w:tcW w:w="7901" w:type="dxa"/>
            <w:noWrap w:val="0"/>
            <w:vAlign w:val="center"/>
          </w:tcPr>
          <w:p w14:paraId="61A296A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color w:val="auto"/>
                <w:sz w:val="22"/>
                <w:szCs w:val="22"/>
                <w:highlight w:val="none"/>
                <w:lang w:eastAsia="zh-CN" w:bidi="ar"/>
              </w:rPr>
              <w:t>电力小区</w:t>
            </w:r>
          </w:p>
        </w:tc>
      </w:tr>
      <w:tr w14:paraId="29413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5AEDDB5">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10</w:t>
            </w:r>
          </w:p>
        </w:tc>
        <w:tc>
          <w:tcPr>
            <w:tcW w:w="7901" w:type="dxa"/>
            <w:noWrap w:val="0"/>
            <w:vAlign w:val="center"/>
          </w:tcPr>
          <w:p w14:paraId="2D15F4E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万科滨河四季</w:t>
            </w:r>
          </w:p>
        </w:tc>
      </w:tr>
      <w:tr w14:paraId="62B09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FF4902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11</w:t>
            </w:r>
          </w:p>
        </w:tc>
        <w:tc>
          <w:tcPr>
            <w:tcW w:w="7901" w:type="dxa"/>
            <w:noWrap w:val="0"/>
            <w:vAlign w:val="center"/>
          </w:tcPr>
          <w:p w14:paraId="5FCE0D9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富士城</w:t>
            </w:r>
          </w:p>
        </w:tc>
      </w:tr>
      <w:tr w14:paraId="20107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742A28F">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12</w:t>
            </w:r>
          </w:p>
        </w:tc>
        <w:tc>
          <w:tcPr>
            <w:tcW w:w="7901" w:type="dxa"/>
            <w:noWrap w:val="0"/>
            <w:vAlign w:val="center"/>
          </w:tcPr>
          <w:p w14:paraId="70DE094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秦正富悦城</w:t>
            </w:r>
          </w:p>
        </w:tc>
      </w:tr>
      <w:tr w14:paraId="3C06B1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32D5A1F">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13</w:t>
            </w:r>
          </w:p>
        </w:tc>
        <w:tc>
          <w:tcPr>
            <w:tcW w:w="7901" w:type="dxa"/>
            <w:noWrap w:val="0"/>
            <w:vAlign w:val="center"/>
          </w:tcPr>
          <w:p w14:paraId="7BEA64D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秦正温泉河畔</w:t>
            </w:r>
          </w:p>
        </w:tc>
      </w:tr>
      <w:tr w14:paraId="78EAE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061EFF3">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14</w:t>
            </w:r>
          </w:p>
        </w:tc>
        <w:tc>
          <w:tcPr>
            <w:tcW w:w="7901" w:type="dxa"/>
            <w:noWrap w:val="0"/>
            <w:vAlign w:val="center"/>
          </w:tcPr>
          <w:p w14:paraId="6BDD21F7">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sz w:val="22"/>
                <w:szCs w:val="22"/>
                <w:highlight w:val="none"/>
                <w:u w:val="none"/>
                <w:lang w:val="en-US" w:eastAsia="zh-CN"/>
              </w:rPr>
              <w:t>秦正阳光城</w:t>
            </w:r>
          </w:p>
        </w:tc>
      </w:tr>
      <w:tr w14:paraId="40F91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1EA2A52">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15</w:t>
            </w:r>
          </w:p>
        </w:tc>
        <w:tc>
          <w:tcPr>
            <w:tcW w:w="7901" w:type="dxa"/>
            <w:noWrap w:val="0"/>
            <w:vAlign w:val="center"/>
          </w:tcPr>
          <w:p w14:paraId="6A5D190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sz w:val="22"/>
                <w:szCs w:val="22"/>
                <w:highlight w:val="none"/>
                <w:u w:val="none"/>
                <w:lang w:val="en-US" w:eastAsia="zh-CN"/>
              </w:rPr>
              <w:t>秦正富昌名苑</w:t>
            </w:r>
          </w:p>
        </w:tc>
      </w:tr>
      <w:tr w14:paraId="79B00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61219E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16</w:t>
            </w:r>
          </w:p>
        </w:tc>
        <w:tc>
          <w:tcPr>
            <w:tcW w:w="7901" w:type="dxa"/>
            <w:noWrap w:val="0"/>
            <w:vAlign w:val="center"/>
          </w:tcPr>
          <w:p w14:paraId="6E52181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博文园</w:t>
            </w:r>
          </w:p>
        </w:tc>
      </w:tr>
      <w:tr w14:paraId="1A1F6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FC9B71E">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17</w:t>
            </w:r>
          </w:p>
        </w:tc>
        <w:tc>
          <w:tcPr>
            <w:tcW w:w="7901" w:type="dxa"/>
            <w:noWrap w:val="0"/>
            <w:vAlign w:val="center"/>
          </w:tcPr>
          <w:p w14:paraId="03FC137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焦村安置小区</w:t>
            </w:r>
          </w:p>
        </w:tc>
      </w:tr>
      <w:tr w14:paraId="66A7A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EC1A395">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18</w:t>
            </w:r>
          </w:p>
        </w:tc>
        <w:tc>
          <w:tcPr>
            <w:tcW w:w="7901" w:type="dxa"/>
            <w:noWrap w:val="0"/>
            <w:vAlign w:val="center"/>
          </w:tcPr>
          <w:p w14:paraId="61DC63E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秦正华庭</w:t>
            </w:r>
          </w:p>
        </w:tc>
      </w:tr>
      <w:tr w14:paraId="1D0D2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2DA5B27">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19</w:t>
            </w:r>
          </w:p>
        </w:tc>
        <w:tc>
          <w:tcPr>
            <w:tcW w:w="7901" w:type="dxa"/>
            <w:noWrap w:val="0"/>
            <w:vAlign w:val="center"/>
          </w:tcPr>
          <w:p w14:paraId="3342432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陶艺欣园</w:t>
            </w:r>
          </w:p>
        </w:tc>
      </w:tr>
      <w:tr w14:paraId="0F5A9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E24251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20</w:t>
            </w:r>
          </w:p>
        </w:tc>
        <w:tc>
          <w:tcPr>
            <w:tcW w:w="7901" w:type="dxa"/>
            <w:noWrap w:val="0"/>
            <w:vAlign w:val="center"/>
          </w:tcPr>
          <w:p w14:paraId="5E220990">
            <w:pPr>
              <w:autoSpaceDE w:val="0"/>
              <w:autoSpaceDN w:val="0"/>
              <w:spacing w:before="156" w:beforeLines="50" w:line="360" w:lineRule="auto"/>
              <w:jc w:val="cente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翰林府</w:t>
            </w:r>
          </w:p>
        </w:tc>
      </w:tr>
      <w:tr w14:paraId="58F25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47B4579">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21</w:t>
            </w:r>
          </w:p>
        </w:tc>
        <w:tc>
          <w:tcPr>
            <w:tcW w:w="7901" w:type="dxa"/>
            <w:noWrap w:val="0"/>
            <w:vAlign w:val="center"/>
          </w:tcPr>
          <w:p w14:paraId="7AD7007F">
            <w:pPr>
              <w:autoSpaceDE w:val="0"/>
              <w:autoSpaceDN w:val="0"/>
              <w:spacing w:before="156" w:beforeLines="50" w:line="360" w:lineRule="auto"/>
              <w:jc w:val="center"/>
              <w:rPr>
                <w:rFonts w:hint="default" w:ascii="方正仿宋_GB2312" w:hAnsi="方正仿宋_GB2312" w:eastAsia="方正仿宋_GB2312" w:cs="方正仿宋_GB2312"/>
                <w:i w:val="0"/>
                <w:iCs w:val="0"/>
                <w:color w:val="auto"/>
                <w:kern w:val="0"/>
                <w:sz w:val="22"/>
                <w:szCs w:val="22"/>
                <w:highlight w:val="none"/>
                <w:u w:val="none"/>
                <w:lang w:val="en-US"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东塬新村</w:t>
            </w:r>
          </w:p>
        </w:tc>
      </w:tr>
      <w:tr w14:paraId="14843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AF50D51">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22</w:t>
            </w:r>
          </w:p>
        </w:tc>
        <w:tc>
          <w:tcPr>
            <w:tcW w:w="7901" w:type="dxa"/>
            <w:noWrap w:val="0"/>
            <w:vAlign w:val="center"/>
          </w:tcPr>
          <w:p w14:paraId="43F9DF03">
            <w:pPr>
              <w:autoSpaceDE w:val="0"/>
              <w:autoSpaceDN w:val="0"/>
              <w:spacing w:before="156" w:beforeLines="50" w:line="360" w:lineRule="auto"/>
              <w:jc w:val="center"/>
              <w:rPr>
                <w:rFonts w:hint="default" w:ascii="方正仿宋_GB2312" w:hAnsi="方正仿宋_GB2312" w:eastAsia="方正仿宋_GB2312" w:cs="方正仿宋_GB2312"/>
                <w:i w:val="0"/>
                <w:iCs w:val="0"/>
                <w:color w:val="auto"/>
                <w:kern w:val="0"/>
                <w:sz w:val="22"/>
                <w:szCs w:val="22"/>
                <w:highlight w:val="none"/>
                <w:u w:val="none"/>
                <w:lang w:val="en-US"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柳塬小区</w:t>
            </w:r>
          </w:p>
        </w:tc>
      </w:tr>
      <w:tr w14:paraId="3CDE1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90C0B62">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23</w:t>
            </w:r>
          </w:p>
        </w:tc>
        <w:tc>
          <w:tcPr>
            <w:tcW w:w="7901" w:type="dxa"/>
            <w:noWrap w:val="0"/>
            <w:vAlign w:val="center"/>
          </w:tcPr>
          <w:p w14:paraId="050D9FB6">
            <w:pPr>
              <w:autoSpaceDE w:val="0"/>
              <w:autoSpaceDN w:val="0"/>
              <w:spacing w:before="156" w:beforeLines="50" w:line="360" w:lineRule="auto"/>
              <w:jc w:val="center"/>
              <w:rPr>
                <w:rFonts w:hint="default" w:ascii="方正仿宋_GB2312" w:hAnsi="方正仿宋_GB2312" w:eastAsia="方正仿宋_GB2312" w:cs="方正仿宋_GB2312"/>
                <w:i w:val="0"/>
                <w:iCs w:val="0"/>
                <w:color w:val="auto"/>
                <w:kern w:val="0"/>
                <w:sz w:val="22"/>
                <w:szCs w:val="22"/>
                <w:highlight w:val="none"/>
                <w:u w:val="none"/>
                <w:lang w:val="en-US" w:eastAsia="zh-CN" w:bidi="ar"/>
              </w:rPr>
            </w:pPr>
            <w:r>
              <w:rPr>
                <w:rFonts w:hint="eastAsia" w:ascii="方正仿宋_GB2312" w:hAnsi="方正仿宋_GB2312" w:eastAsia="方正仿宋_GB2312" w:cs="方正仿宋_GB2312"/>
                <w:i w:val="0"/>
                <w:iCs w:val="0"/>
                <w:color w:val="auto"/>
                <w:kern w:val="0"/>
                <w:sz w:val="22"/>
                <w:szCs w:val="22"/>
                <w:highlight w:val="none"/>
                <w:u w:val="none"/>
                <w:lang w:val="en-US" w:eastAsia="zh-CN" w:bidi="ar"/>
              </w:rPr>
              <w:t>秦楚名苑</w:t>
            </w:r>
          </w:p>
        </w:tc>
      </w:tr>
      <w:tr w14:paraId="5CCE11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jc w:val="center"/>
        </w:trPr>
        <w:tc>
          <w:tcPr>
            <w:tcW w:w="9067" w:type="dxa"/>
            <w:gridSpan w:val="2"/>
            <w:noWrap w:val="0"/>
            <w:vAlign w:val="center"/>
          </w:tcPr>
          <w:p w14:paraId="17DF058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医院</w:t>
            </w:r>
          </w:p>
        </w:tc>
      </w:tr>
      <w:tr w14:paraId="0531E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51C981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序号</w:t>
            </w:r>
          </w:p>
        </w:tc>
        <w:tc>
          <w:tcPr>
            <w:tcW w:w="7901" w:type="dxa"/>
            <w:noWrap w:val="0"/>
            <w:vAlign w:val="center"/>
          </w:tcPr>
          <w:p w14:paraId="4EFE063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医院名称</w:t>
            </w:r>
          </w:p>
        </w:tc>
      </w:tr>
      <w:tr w14:paraId="217F7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CE9A04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w:t>
            </w:r>
          </w:p>
        </w:tc>
        <w:tc>
          <w:tcPr>
            <w:tcW w:w="7901" w:type="dxa"/>
            <w:noWrap w:val="0"/>
            <w:vAlign w:val="center"/>
          </w:tcPr>
          <w:p w14:paraId="2EB3EB1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富平县医院</w:t>
            </w:r>
          </w:p>
        </w:tc>
      </w:tr>
      <w:tr w14:paraId="40B5F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529916F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w:t>
            </w:r>
          </w:p>
        </w:tc>
        <w:tc>
          <w:tcPr>
            <w:tcW w:w="7901" w:type="dxa"/>
            <w:noWrap w:val="0"/>
            <w:vAlign w:val="center"/>
          </w:tcPr>
          <w:p w14:paraId="346E2CCF">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富平县妇女儿童医院</w:t>
            </w:r>
          </w:p>
        </w:tc>
      </w:tr>
      <w:tr w14:paraId="2872C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C04FA0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w:t>
            </w:r>
          </w:p>
        </w:tc>
        <w:tc>
          <w:tcPr>
            <w:tcW w:w="7901" w:type="dxa"/>
            <w:noWrap w:val="0"/>
            <w:vAlign w:val="center"/>
          </w:tcPr>
          <w:p w14:paraId="5F4965DC">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富平县第二人民医院</w:t>
            </w:r>
          </w:p>
        </w:tc>
      </w:tr>
      <w:tr w14:paraId="4E096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56DAD5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w:t>
            </w:r>
          </w:p>
        </w:tc>
        <w:tc>
          <w:tcPr>
            <w:tcW w:w="7901" w:type="dxa"/>
            <w:noWrap w:val="0"/>
            <w:vAlign w:val="center"/>
          </w:tcPr>
          <w:p w14:paraId="62B5FD2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八里店骨伤医院</w:t>
            </w:r>
          </w:p>
        </w:tc>
      </w:tr>
      <w:tr w14:paraId="57138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EB8762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5</w:t>
            </w:r>
          </w:p>
        </w:tc>
        <w:tc>
          <w:tcPr>
            <w:tcW w:w="7901" w:type="dxa"/>
            <w:noWrap w:val="0"/>
            <w:vAlign w:val="center"/>
          </w:tcPr>
          <w:p w14:paraId="38832EEA">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bidi="ar"/>
              </w:rPr>
            </w:pPr>
            <w:r>
              <w:rPr>
                <w:rFonts w:hint="eastAsia" w:ascii="方正仿宋_GB2312" w:hAnsi="方正仿宋_GB2312" w:eastAsia="方正仿宋_GB2312" w:cs="方正仿宋_GB2312"/>
                <w:color w:val="auto"/>
                <w:sz w:val="22"/>
                <w:szCs w:val="22"/>
                <w:highlight w:val="none"/>
                <w:lang w:val="en-US" w:eastAsia="zh-CN" w:bidi="ar"/>
              </w:rPr>
              <w:t>富平县中医医院</w:t>
            </w:r>
          </w:p>
        </w:tc>
      </w:tr>
      <w:tr w14:paraId="79AF21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E23F631">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6</w:t>
            </w:r>
          </w:p>
        </w:tc>
        <w:tc>
          <w:tcPr>
            <w:tcW w:w="7901" w:type="dxa"/>
            <w:noWrap w:val="0"/>
            <w:vAlign w:val="center"/>
          </w:tcPr>
          <w:p w14:paraId="69B8648E">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bidi="ar"/>
              </w:rPr>
            </w:pPr>
            <w:r>
              <w:rPr>
                <w:rFonts w:hint="default" w:ascii="方正仿宋_GB2312" w:hAnsi="方正仿宋_GB2312" w:eastAsia="方正仿宋_GB2312" w:cs="方正仿宋_GB2312"/>
                <w:color w:val="auto"/>
                <w:sz w:val="22"/>
                <w:szCs w:val="22"/>
                <w:highlight w:val="none"/>
                <w:lang w:eastAsia="zh-CN" w:bidi="ar"/>
              </w:rPr>
              <w:t>马战</w:t>
            </w:r>
            <w:r>
              <w:rPr>
                <w:rFonts w:hint="eastAsia" w:ascii="方正仿宋_GB2312" w:hAnsi="方正仿宋_GB2312" w:eastAsia="方正仿宋_GB2312" w:cs="方正仿宋_GB2312"/>
                <w:color w:val="auto"/>
                <w:sz w:val="22"/>
                <w:szCs w:val="22"/>
                <w:highlight w:val="none"/>
                <w:lang w:val="en-US" w:eastAsia="zh-CN" w:bidi="ar"/>
              </w:rPr>
              <w:t>医院</w:t>
            </w:r>
          </w:p>
        </w:tc>
      </w:tr>
      <w:tr w14:paraId="57D54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64FF352">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7</w:t>
            </w:r>
          </w:p>
        </w:tc>
        <w:tc>
          <w:tcPr>
            <w:tcW w:w="7901" w:type="dxa"/>
            <w:noWrap w:val="0"/>
            <w:vAlign w:val="center"/>
          </w:tcPr>
          <w:p w14:paraId="1D01C3B9">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bidi="ar"/>
              </w:rPr>
            </w:pPr>
            <w:r>
              <w:rPr>
                <w:rFonts w:hint="eastAsia" w:ascii="方正仿宋_GB2312" w:hAnsi="方正仿宋_GB2312" w:eastAsia="方正仿宋_GB2312" w:cs="方正仿宋_GB2312"/>
                <w:color w:val="auto"/>
                <w:sz w:val="22"/>
                <w:szCs w:val="22"/>
                <w:highlight w:val="none"/>
                <w:lang w:val="en-US" w:eastAsia="zh-CN" w:bidi="ar"/>
              </w:rPr>
              <w:t>马欣医院</w:t>
            </w:r>
          </w:p>
        </w:tc>
      </w:tr>
      <w:tr w14:paraId="78EC7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9DE7313">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eastAsia="zh-CN"/>
              </w:rPr>
            </w:pPr>
            <w:r>
              <w:rPr>
                <w:rFonts w:hint="eastAsia" w:ascii="方正仿宋_GB2312" w:hAnsi="方正仿宋_GB2312" w:eastAsia="方正仿宋_GB2312" w:cs="方正仿宋_GB2312"/>
                <w:color w:val="auto"/>
                <w:sz w:val="22"/>
                <w:szCs w:val="22"/>
                <w:highlight w:val="none"/>
                <w:lang w:val="en-US" w:eastAsia="zh-CN"/>
              </w:rPr>
              <w:t>8</w:t>
            </w:r>
          </w:p>
        </w:tc>
        <w:tc>
          <w:tcPr>
            <w:tcW w:w="7901" w:type="dxa"/>
            <w:noWrap w:val="0"/>
            <w:vAlign w:val="center"/>
          </w:tcPr>
          <w:p w14:paraId="75013ABD">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eastAsia="zh-CN" w:bidi="ar"/>
              </w:rPr>
            </w:pPr>
            <w:r>
              <w:rPr>
                <w:rFonts w:hint="default" w:ascii="方正仿宋_GB2312" w:hAnsi="方正仿宋_GB2312" w:eastAsia="方正仿宋_GB2312" w:cs="方正仿宋_GB2312"/>
                <w:color w:val="auto"/>
                <w:sz w:val="22"/>
                <w:szCs w:val="22"/>
                <w:highlight w:val="none"/>
                <w:lang w:eastAsia="zh-CN" w:bidi="ar"/>
              </w:rPr>
              <w:t>频阳医院</w:t>
            </w:r>
          </w:p>
        </w:tc>
      </w:tr>
      <w:tr w14:paraId="34E62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E748964">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9</w:t>
            </w:r>
          </w:p>
        </w:tc>
        <w:tc>
          <w:tcPr>
            <w:tcW w:w="7901" w:type="dxa"/>
            <w:noWrap w:val="0"/>
            <w:vAlign w:val="center"/>
          </w:tcPr>
          <w:p w14:paraId="2600E7B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bidi="ar"/>
              </w:rPr>
            </w:pPr>
            <w:r>
              <w:rPr>
                <w:rFonts w:hint="eastAsia" w:ascii="方正仿宋_GB2312" w:hAnsi="方正仿宋_GB2312" w:eastAsia="方正仿宋_GB2312" w:cs="方正仿宋_GB2312"/>
                <w:color w:val="auto"/>
                <w:sz w:val="22"/>
                <w:szCs w:val="22"/>
                <w:highlight w:val="none"/>
                <w:lang w:val="en-US" w:eastAsia="zh-CN" w:bidi="ar"/>
              </w:rPr>
              <w:t>朱老大骨伤医院</w:t>
            </w:r>
          </w:p>
        </w:tc>
      </w:tr>
      <w:tr w14:paraId="2D91A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9067" w:type="dxa"/>
            <w:gridSpan w:val="2"/>
            <w:noWrap w:val="0"/>
            <w:vAlign w:val="center"/>
          </w:tcPr>
          <w:p w14:paraId="50CB6E1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景区/公共场所</w:t>
            </w:r>
          </w:p>
        </w:tc>
      </w:tr>
      <w:tr w14:paraId="3CD30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9A6133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序号</w:t>
            </w:r>
          </w:p>
        </w:tc>
        <w:tc>
          <w:tcPr>
            <w:tcW w:w="7901" w:type="dxa"/>
            <w:noWrap w:val="0"/>
            <w:vAlign w:val="center"/>
          </w:tcPr>
          <w:p w14:paraId="5DB0573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景区/公共场所名称</w:t>
            </w:r>
          </w:p>
        </w:tc>
      </w:tr>
      <w:tr w14:paraId="3A7FD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CA2D5D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w:t>
            </w:r>
          </w:p>
        </w:tc>
        <w:tc>
          <w:tcPr>
            <w:tcW w:w="7901" w:type="dxa"/>
            <w:noWrap w:val="0"/>
            <w:vAlign w:val="center"/>
          </w:tcPr>
          <w:p w14:paraId="5929ECF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bidi="ar"/>
              </w:rPr>
              <w:t>石川河景区</w:t>
            </w:r>
          </w:p>
        </w:tc>
      </w:tr>
      <w:tr w14:paraId="0D4F0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487F745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w:t>
            </w:r>
          </w:p>
        </w:tc>
        <w:tc>
          <w:tcPr>
            <w:tcW w:w="7901" w:type="dxa"/>
            <w:noWrap w:val="0"/>
            <w:vAlign w:val="center"/>
          </w:tcPr>
          <w:p w14:paraId="4756F792">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温泉河湿地公园</w:t>
            </w:r>
          </w:p>
        </w:tc>
      </w:tr>
      <w:tr w14:paraId="129259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360B84F0">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rPr>
            </w:pPr>
            <w:r>
              <w:rPr>
                <w:rFonts w:hint="eastAsia" w:ascii="方正仿宋_GB2312" w:hAnsi="方正仿宋_GB2312" w:eastAsia="方正仿宋_GB2312" w:cs="方正仿宋_GB2312"/>
                <w:color w:val="auto"/>
                <w:sz w:val="22"/>
                <w:szCs w:val="22"/>
                <w:highlight w:val="none"/>
                <w:lang w:val="en-US" w:eastAsia="zh-CN"/>
              </w:rPr>
              <w:t>3</w:t>
            </w:r>
          </w:p>
        </w:tc>
        <w:tc>
          <w:tcPr>
            <w:tcW w:w="7901" w:type="dxa"/>
            <w:noWrap w:val="0"/>
            <w:vAlign w:val="center"/>
          </w:tcPr>
          <w:p w14:paraId="7214DE8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爱国主义教育基地</w:t>
            </w:r>
          </w:p>
        </w:tc>
      </w:tr>
      <w:tr w14:paraId="351BC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9067" w:type="dxa"/>
            <w:gridSpan w:val="2"/>
            <w:noWrap w:val="0"/>
            <w:vAlign w:val="center"/>
          </w:tcPr>
          <w:p w14:paraId="402B612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示范街区及广场</w:t>
            </w:r>
          </w:p>
        </w:tc>
      </w:tr>
      <w:tr w14:paraId="1EF4B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E7D24C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序号</w:t>
            </w:r>
          </w:p>
        </w:tc>
        <w:tc>
          <w:tcPr>
            <w:tcW w:w="7901" w:type="dxa"/>
            <w:noWrap w:val="0"/>
            <w:vAlign w:val="center"/>
          </w:tcPr>
          <w:p w14:paraId="442A675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示范街区及广场名称</w:t>
            </w:r>
          </w:p>
        </w:tc>
      </w:tr>
      <w:tr w14:paraId="082DE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00B77DA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1</w:t>
            </w:r>
          </w:p>
        </w:tc>
        <w:tc>
          <w:tcPr>
            <w:tcW w:w="7901" w:type="dxa"/>
            <w:noWrap w:val="0"/>
            <w:vAlign w:val="center"/>
          </w:tcPr>
          <w:p w14:paraId="20D46587">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杜村东街</w:t>
            </w:r>
          </w:p>
        </w:tc>
      </w:tr>
      <w:tr w14:paraId="1E0D2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6CD2817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2</w:t>
            </w:r>
          </w:p>
        </w:tc>
        <w:tc>
          <w:tcPr>
            <w:tcW w:w="7901" w:type="dxa"/>
            <w:noWrap w:val="0"/>
            <w:vAlign w:val="center"/>
          </w:tcPr>
          <w:p w14:paraId="7988A4C0">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人民路</w:t>
            </w:r>
          </w:p>
        </w:tc>
      </w:tr>
      <w:tr w14:paraId="075B2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28BA1F5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3</w:t>
            </w:r>
          </w:p>
        </w:tc>
        <w:tc>
          <w:tcPr>
            <w:tcW w:w="7901" w:type="dxa"/>
            <w:noWrap w:val="0"/>
            <w:vAlign w:val="center"/>
          </w:tcPr>
          <w:p w14:paraId="6F20E46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车站大街</w:t>
            </w:r>
          </w:p>
        </w:tc>
      </w:tr>
      <w:tr w14:paraId="74B4F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7EA87B79">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4</w:t>
            </w:r>
          </w:p>
        </w:tc>
        <w:tc>
          <w:tcPr>
            <w:tcW w:w="7901" w:type="dxa"/>
            <w:noWrap w:val="0"/>
            <w:vAlign w:val="center"/>
          </w:tcPr>
          <w:p w14:paraId="3890D1B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频阳大道</w:t>
            </w:r>
          </w:p>
        </w:tc>
      </w:tr>
      <w:tr w14:paraId="4D2ADB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166" w:type="dxa"/>
            <w:noWrap w:val="0"/>
            <w:vAlign w:val="center"/>
          </w:tcPr>
          <w:p w14:paraId="7F29BAE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5</w:t>
            </w:r>
          </w:p>
        </w:tc>
        <w:tc>
          <w:tcPr>
            <w:tcW w:w="7901" w:type="dxa"/>
            <w:noWrap w:val="0"/>
            <w:vAlign w:val="center"/>
          </w:tcPr>
          <w:p w14:paraId="3583263D">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莲湖大街</w:t>
            </w:r>
          </w:p>
        </w:tc>
      </w:tr>
      <w:tr w14:paraId="17033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66" w:type="dxa"/>
            <w:noWrap w:val="0"/>
            <w:vAlign w:val="center"/>
          </w:tcPr>
          <w:p w14:paraId="16CF17F1">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6</w:t>
            </w:r>
          </w:p>
        </w:tc>
        <w:tc>
          <w:tcPr>
            <w:tcW w:w="7901" w:type="dxa"/>
            <w:noWrap w:val="0"/>
            <w:vAlign w:val="center"/>
          </w:tcPr>
          <w:p w14:paraId="396644E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bidi="ar"/>
              </w:rPr>
              <w:t>南韩大街</w:t>
            </w:r>
          </w:p>
        </w:tc>
      </w:tr>
      <w:tr w14:paraId="381BD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679E5AC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7</w:t>
            </w:r>
          </w:p>
        </w:tc>
        <w:tc>
          <w:tcPr>
            <w:tcW w:w="7901" w:type="dxa"/>
            <w:noWrap w:val="0"/>
            <w:vAlign w:val="center"/>
          </w:tcPr>
          <w:p w14:paraId="6886EB96">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秦正广场</w:t>
            </w:r>
          </w:p>
        </w:tc>
      </w:tr>
      <w:tr w14:paraId="18861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477744D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8</w:t>
            </w:r>
          </w:p>
        </w:tc>
        <w:tc>
          <w:tcPr>
            <w:tcW w:w="7901" w:type="dxa"/>
            <w:noWrap w:val="0"/>
            <w:vAlign w:val="center"/>
          </w:tcPr>
          <w:p w14:paraId="12D8798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乔山路</w:t>
            </w:r>
          </w:p>
        </w:tc>
      </w:tr>
      <w:tr w14:paraId="58210F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43103DD2">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9</w:t>
            </w:r>
          </w:p>
        </w:tc>
        <w:tc>
          <w:tcPr>
            <w:tcW w:w="7901" w:type="dxa"/>
            <w:noWrap w:val="0"/>
            <w:vAlign w:val="center"/>
          </w:tcPr>
          <w:p w14:paraId="0284807D">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温泉南路</w:t>
            </w:r>
          </w:p>
        </w:tc>
      </w:tr>
      <w:tr w14:paraId="56EC30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2091F407">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10</w:t>
            </w:r>
          </w:p>
        </w:tc>
        <w:tc>
          <w:tcPr>
            <w:tcW w:w="7901" w:type="dxa"/>
            <w:noWrap w:val="0"/>
            <w:vAlign w:val="center"/>
          </w:tcPr>
          <w:p w14:paraId="257F1D1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丰荣大街</w:t>
            </w:r>
          </w:p>
        </w:tc>
      </w:tr>
      <w:tr w14:paraId="1EC65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4EF09B72">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11</w:t>
            </w:r>
          </w:p>
        </w:tc>
        <w:tc>
          <w:tcPr>
            <w:tcW w:w="7901" w:type="dxa"/>
            <w:noWrap w:val="0"/>
            <w:vAlign w:val="center"/>
          </w:tcPr>
          <w:p w14:paraId="0CA2DA45">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昌平大街</w:t>
            </w:r>
          </w:p>
        </w:tc>
      </w:tr>
      <w:tr w14:paraId="0A085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166" w:type="dxa"/>
            <w:noWrap w:val="0"/>
            <w:vAlign w:val="center"/>
          </w:tcPr>
          <w:p w14:paraId="61585405">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12</w:t>
            </w:r>
          </w:p>
        </w:tc>
        <w:tc>
          <w:tcPr>
            <w:tcW w:w="7901" w:type="dxa"/>
            <w:noWrap w:val="0"/>
            <w:vAlign w:val="center"/>
          </w:tcPr>
          <w:p w14:paraId="092D194A">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怀阳街</w:t>
            </w:r>
          </w:p>
        </w:tc>
      </w:tr>
      <w:tr w14:paraId="3958FA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28B41266">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13</w:t>
            </w:r>
          </w:p>
        </w:tc>
        <w:tc>
          <w:tcPr>
            <w:tcW w:w="7901" w:type="dxa"/>
            <w:noWrap w:val="0"/>
            <w:vAlign w:val="center"/>
          </w:tcPr>
          <w:p w14:paraId="6901AE72">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望湖路</w:t>
            </w:r>
          </w:p>
        </w:tc>
      </w:tr>
      <w:tr w14:paraId="07A4D5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3E52EC36">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14</w:t>
            </w:r>
          </w:p>
        </w:tc>
        <w:tc>
          <w:tcPr>
            <w:tcW w:w="7901" w:type="dxa"/>
            <w:noWrap w:val="0"/>
            <w:vAlign w:val="center"/>
          </w:tcPr>
          <w:p w14:paraId="37505F59">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秦西巷</w:t>
            </w:r>
          </w:p>
        </w:tc>
      </w:tr>
      <w:tr w14:paraId="0CC12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326917CE">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15</w:t>
            </w:r>
          </w:p>
        </w:tc>
        <w:tc>
          <w:tcPr>
            <w:tcW w:w="7901" w:type="dxa"/>
            <w:noWrap w:val="0"/>
            <w:vAlign w:val="center"/>
          </w:tcPr>
          <w:p w14:paraId="12E6CC19">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富昌大道中段</w:t>
            </w:r>
          </w:p>
        </w:tc>
      </w:tr>
      <w:tr w14:paraId="17DF7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5EB2A365">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16</w:t>
            </w:r>
          </w:p>
        </w:tc>
        <w:tc>
          <w:tcPr>
            <w:tcW w:w="7901" w:type="dxa"/>
            <w:noWrap w:val="0"/>
            <w:vAlign w:val="center"/>
          </w:tcPr>
          <w:p w14:paraId="2E712FD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富兴路中段</w:t>
            </w:r>
          </w:p>
        </w:tc>
      </w:tr>
      <w:tr w14:paraId="6D88BD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72DAC39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17</w:t>
            </w:r>
          </w:p>
        </w:tc>
        <w:tc>
          <w:tcPr>
            <w:tcW w:w="7901" w:type="dxa"/>
            <w:noWrap w:val="0"/>
            <w:vAlign w:val="center"/>
          </w:tcPr>
          <w:p w14:paraId="51A5F454">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富来街</w:t>
            </w:r>
          </w:p>
        </w:tc>
      </w:tr>
      <w:tr w14:paraId="7F47A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107A3E1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18</w:t>
            </w:r>
          </w:p>
        </w:tc>
        <w:tc>
          <w:tcPr>
            <w:tcW w:w="7901" w:type="dxa"/>
            <w:noWrap w:val="0"/>
            <w:vAlign w:val="center"/>
          </w:tcPr>
          <w:p w14:paraId="2FF78F8A">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富昌大街南段</w:t>
            </w:r>
          </w:p>
        </w:tc>
      </w:tr>
      <w:tr w14:paraId="4D657638">
        <w:tblPrEx>
          <w:tblCellMar>
            <w:top w:w="0" w:type="dxa"/>
            <w:left w:w="0" w:type="dxa"/>
            <w:bottom w:w="0" w:type="dxa"/>
            <w:right w:w="0" w:type="dxa"/>
          </w:tblCellMar>
        </w:tblPrEx>
        <w:trPr>
          <w:trHeight w:val="485" w:hRule="atLeast"/>
          <w:jc w:val="center"/>
        </w:trPr>
        <w:tc>
          <w:tcPr>
            <w:tcW w:w="1166" w:type="dxa"/>
            <w:noWrap w:val="0"/>
            <w:vAlign w:val="center"/>
          </w:tcPr>
          <w:p w14:paraId="58FAECD8">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19</w:t>
            </w:r>
          </w:p>
        </w:tc>
        <w:tc>
          <w:tcPr>
            <w:tcW w:w="7901" w:type="dxa"/>
            <w:noWrap w:val="0"/>
            <w:vAlign w:val="center"/>
          </w:tcPr>
          <w:p w14:paraId="7C6451EB">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东屏巷子</w:t>
            </w:r>
          </w:p>
        </w:tc>
      </w:tr>
      <w:tr w14:paraId="324FE9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341892CC">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20</w:t>
            </w:r>
          </w:p>
        </w:tc>
        <w:tc>
          <w:tcPr>
            <w:tcW w:w="7901" w:type="dxa"/>
            <w:noWrap w:val="0"/>
            <w:vAlign w:val="center"/>
          </w:tcPr>
          <w:p w14:paraId="067DADA7">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新华南巷</w:t>
            </w:r>
          </w:p>
        </w:tc>
      </w:tr>
      <w:bookmarkEnd w:id="18"/>
      <w:tr w14:paraId="5651C6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7D06821F">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21</w:t>
            </w:r>
          </w:p>
        </w:tc>
        <w:tc>
          <w:tcPr>
            <w:tcW w:w="7901" w:type="dxa"/>
            <w:noWrap w:val="0"/>
            <w:vAlign w:val="center"/>
          </w:tcPr>
          <w:p w14:paraId="31E1D631">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频阳大道两侧</w:t>
            </w:r>
          </w:p>
        </w:tc>
      </w:tr>
      <w:tr w14:paraId="4074B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jc w:val="center"/>
        </w:trPr>
        <w:tc>
          <w:tcPr>
            <w:tcW w:w="1166" w:type="dxa"/>
            <w:noWrap w:val="0"/>
            <w:vAlign w:val="center"/>
          </w:tcPr>
          <w:p w14:paraId="4DE43B39">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22</w:t>
            </w:r>
          </w:p>
        </w:tc>
        <w:tc>
          <w:tcPr>
            <w:tcW w:w="7901" w:type="dxa"/>
            <w:noWrap w:val="0"/>
            <w:vAlign w:val="center"/>
          </w:tcPr>
          <w:p w14:paraId="6E21B8F0">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秦正公馆东街</w:t>
            </w:r>
          </w:p>
        </w:tc>
      </w:tr>
      <w:tr w14:paraId="5E7C0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6E7870CB">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23</w:t>
            </w:r>
          </w:p>
        </w:tc>
        <w:tc>
          <w:tcPr>
            <w:tcW w:w="7901" w:type="dxa"/>
            <w:noWrap w:val="0"/>
            <w:vAlign w:val="center"/>
          </w:tcPr>
          <w:p w14:paraId="30A0D504">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富昌路北段</w:t>
            </w:r>
          </w:p>
        </w:tc>
      </w:tr>
      <w:tr w14:paraId="7F2B6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4742AE7E">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23</w:t>
            </w:r>
          </w:p>
        </w:tc>
        <w:tc>
          <w:tcPr>
            <w:tcW w:w="7901" w:type="dxa"/>
            <w:noWrap w:val="0"/>
            <w:vAlign w:val="center"/>
          </w:tcPr>
          <w:p w14:paraId="56FE4A3A">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秦正公馆金街</w:t>
            </w:r>
          </w:p>
        </w:tc>
      </w:tr>
      <w:tr w14:paraId="4302F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3BEB5158">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25</w:t>
            </w:r>
          </w:p>
        </w:tc>
        <w:tc>
          <w:tcPr>
            <w:tcW w:w="7901" w:type="dxa"/>
            <w:noWrap w:val="0"/>
            <w:vAlign w:val="center"/>
          </w:tcPr>
          <w:p w14:paraId="0CC7832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秦正公馆北街</w:t>
            </w:r>
          </w:p>
        </w:tc>
      </w:tr>
      <w:tr w14:paraId="6FF28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641F349F">
            <w:pPr>
              <w:autoSpaceDE w:val="0"/>
              <w:autoSpaceDN w:val="0"/>
              <w:spacing w:before="156" w:beforeLines="50" w:line="360" w:lineRule="auto"/>
              <w:jc w:val="center"/>
              <w:rPr>
                <w:rFonts w:hint="default"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26</w:t>
            </w:r>
          </w:p>
        </w:tc>
        <w:tc>
          <w:tcPr>
            <w:tcW w:w="7901" w:type="dxa"/>
            <w:noWrap w:val="0"/>
            <w:vAlign w:val="center"/>
          </w:tcPr>
          <w:p w14:paraId="44F7EA4E">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en-US"/>
              </w:rPr>
            </w:pPr>
            <w:r>
              <w:rPr>
                <w:rFonts w:hint="eastAsia" w:ascii="方正仿宋_GB2312" w:hAnsi="方正仿宋_GB2312" w:eastAsia="方正仿宋_GB2312" w:cs="方正仿宋_GB2312"/>
                <w:color w:val="auto"/>
                <w:sz w:val="22"/>
                <w:szCs w:val="22"/>
                <w:highlight w:val="none"/>
                <w:lang w:eastAsia="en-US"/>
              </w:rPr>
              <w:t>环城南路</w:t>
            </w:r>
          </w:p>
        </w:tc>
      </w:tr>
      <w:tr w14:paraId="769D4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9067" w:type="dxa"/>
            <w:gridSpan w:val="2"/>
            <w:noWrap w:val="0"/>
            <w:vAlign w:val="center"/>
          </w:tcPr>
          <w:p w14:paraId="6AB7DA28">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rPr>
            </w:pPr>
            <w:r>
              <w:rPr>
                <w:rFonts w:hint="eastAsia" w:ascii="方正仿宋_GB2312" w:hAnsi="方正仿宋_GB2312" w:eastAsia="方正仿宋_GB2312" w:cs="方正仿宋_GB2312"/>
                <w:color w:val="auto"/>
                <w:sz w:val="22"/>
                <w:szCs w:val="22"/>
                <w:highlight w:val="none"/>
                <w:lang w:eastAsia="zh-CN"/>
              </w:rPr>
              <w:t>示范社区</w:t>
            </w:r>
          </w:p>
        </w:tc>
      </w:tr>
      <w:tr w14:paraId="38A5A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1166" w:type="dxa"/>
            <w:noWrap w:val="0"/>
            <w:vAlign w:val="center"/>
          </w:tcPr>
          <w:p w14:paraId="78A5B9E5">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val="en-US" w:eastAsia="zh-CN"/>
              </w:rPr>
            </w:pPr>
            <w:r>
              <w:rPr>
                <w:rFonts w:hint="eastAsia" w:ascii="方正仿宋_GB2312" w:hAnsi="方正仿宋_GB2312" w:eastAsia="方正仿宋_GB2312" w:cs="方正仿宋_GB2312"/>
                <w:color w:val="auto"/>
                <w:sz w:val="22"/>
                <w:szCs w:val="22"/>
                <w:highlight w:val="none"/>
                <w:lang w:val="en-US" w:eastAsia="zh-CN"/>
              </w:rPr>
              <w:t>1</w:t>
            </w:r>
          </w:p>
        </w:tc>
        <w:tc>
          <w:tcPr>
            <w:tcW w:w="7901" w:type="dxa"/>
            <w:noWrap w:val="0"/>
            <w:vAlign w:val="center"/>
          </w:tcPr>
          <w:p w14:paraId="2332E433">
            <w:pPr>
              <w:autoSpaceDE w:val="0"/>
              <w:autoSpaceDN w:val="0"/>
              <w:spacing w:before="156" w:beforeLines="50" w:line="360" w:lineRule="auto"/>
              <w:jc w:val="center"/>
              <w:rPr>
                <w:rFonts w:hint="eastAsia" w:ascii="方正仿宋_GB2312" w:hAnsi="方正仿宋_GB2312" w:eastAsia="方正仿宋_GB2312" w:cs="方正仿宋_GB2312"/>
                <w:color w:val="auto"/>
                <w:sz w:val="22"/>
                <w:szCs w:val="22"/>
                <w:highlight w:val="none"/>
                <w:lang w:eastAsia="zh-CN"/>
              </w:rPr>
            </w:pPr>
            <w:r>
              <w:rPr>
                <w:rFonts w:hint="eastAsia" w:ascii="方正仿宋_GB2312" w:hAnsi="方正仿宋_GB2312" w:eastAsia="方正仿宋_GB2312" w:cs="方正仿宋_GB2312"/>
                <w:color w:val="auto"/>
                <w:sz w:val="22"/>
                <w:szCs w:val="22"/>
                <w:highlight w:val="none"/>
                <w:lang w:eastAsia="zh-CN"/>
              </w:rPr>
              <w:t>温泉社区</w:t>
            </w:r>
          </w:p>
        </w:tc>
      </w:tr>
    </w:tbl>
    <w:p w14:paraId="2E0B6125">
      <w:pPr>
        <w:pStyle w:val="3"/>
        <w:spacing w:line="274" w:lineRule="auto"/>
        <w:rPr>
          <w:rFonts w:hint="eastAsia" w:ascii="仿宋" w:hAnsi="仿宋" w:eastAsia="仿宋" w:cs="仿宋"/>
          <w:color w:val="auto"/>
          <w:highlight w:val="none"/>
        </w:rPr>
      </w:pPr>
      <w:r>
        <w:rPr>
          <w:rFonts w:hint="eastAsia" w:ascii="仿宋" w:hAnsi="仿宋" w:eastAsia="仿宋" w:cs="仿宋"/>
          <w:b/>
          <w:color w:val="auto"/>
          <w:sz w:val="22"/>
          <w:szCs w:val="22"/>
          <w:highlight w:val="none"/>
        </w:rPr>
        <w:br w:type="page"/>
      </w:r>
    </w:p>
    <w:p w14:paraId="7C96FC26">
      <w:pPr>
        <w:pStyle w:val="3"/>
        <w:pageBreakBefore w:val="0"/>
        <w:kinsoku/>
        <w:overflowPunct/>
        <w:topLinePunct w:val="0"/>
        <w:bidi w:val="0"/>
        <w:spacing w:beforeAutospacing="0" w:afterAutospacing="0" w:line="360" w:lineRule="auto"/>
        <w:ind w:left="0" w:leftChars="0" w:right="0"/>
        <w:jc w:val="left"/>
        <w:rPr>
          <w:rFonts w:hint="eastAsia" w:ascii="仿宋" w:hAnsi="仿宋" w:eastAsia="仿宋" w:cs="仿宋"/>
          <w:b/>
          <w:bCs w:val="0"/>
          <w:color w:val="auto"/>
          <w:kern w:val="0"/>
          <w:sz w:val="22"/>
          <w:szCs w:val="22"/>
          <w:highlight w:val="none"/>
          <w:lang w:val="en-US" w:eastAsia="zh-CN" w:bidi="zh-CN"/>
        </w:rPr>
      </w:pPr>
      <w:r>
        <w:rPr>
          <w:rFonts w:hint="eastAsia" w:ascii="仿宋" w:hAnsi="仿宋" w:eastAsia="仿宋" w:cs="仿宋"/>
          <w:b/>
          <w:bCs w:val="0"/>
          <w:color w:val="auto"/>
          <w:kern w:val="0"/>
          <w:sz w:val="22"/>
          <w:szCs w:val="22"/>
          <w:highlight w:val="none"/>
          <w:lang w:val="en-US" w:eastAsia="zh-CN" w:bidi="zh-CN"/>
        </w:rPr>
        <w:t>附件3  考核办法、管理工作考核表</w:t>
      </w:r>
    </w:p>
    <w:tbl>
      <w:tblPr>
        <w:tblStyle w:val="4"/>
        <w:tblW w:w="1005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03"/>
        <w:gridCol w:w="1082"/>
        <w:gridCol w:w="1575"/>
        <w:gridCol w:w="5319"/>
        <w:gridCol w:w="705"/>
        <w:gridCol w:w="667"/>
      </w:tblGrid>
      <w:tr w14:paraId="610E9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10051" w:type="dxa"/>
            <w:gridSpan w:val="6"/>
            <w:tcBorders>
              <w:top w:val="nil"/>
              <w:left w:val="nil"/>
              <w:bottom w:val="nil"/>
              <w:right w:val="nil"/>
            </w:tcBorders>
            <w:noWrap w:val="0"/>
            <w:vAlign w:val="center"/>
          </w:tcPr>
          <w:p w14:paraId="4E7DA48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b/>
                <w:bCs/>
                <w:i w:val="0"/>
                <w:iCs w:val="0"/>
                <w:snapToGrid w:val="0"/>
                <w:color w:val="auto"/>
                <w:kern w:val="0"/>
                <w:sz w:val="22"/>
                <w:szCs w:val="22"/>
                <w:highlight w:val="none"/>
                <w:u w:val="none"/>
                <w:lang w:val="en-US" w:eastAsia="zh-CN" w:bidi="ar"/>
              </w:rPr>
              <w:t>富平县生活垃圾分类运行管理工作考核表</w:t>
            </w:r>
          </w:p>
        </w:tc>
      </w:tr>
      <w:tr w14:paraId="35E7B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051" w:type="dxa"/>
            <w:gridSpan w:val="6"/>
            <w:tcBorders>
              <w:top w:val="nil"/>
              <w:left w:val="nil"/>
              <w:bottom w:val="nil"/>
              <w:right w:val="nil"/>
            </w:tcBorders>
            <w:noWrap w:val="0"/>
            <w:vAlign w:val="center"/>
          </w:tcPr>
          <w:p w14:paraId="086B6C6F">
            <w:pPr>
              <w:keepNext w:val="0"/>
              <w:keepLines w:val="0"/>
              <w:widowControl/>
              <w:suppressLineNumbers w:val="0"/>
              <w:jc w:val="righ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 xml:space="preserve">                                    考核时间：     年    月   日</w:t>
            </w:r>
          </w:p>
        </w:tc>
      </w:tr>
      <w:tr w14:paraId="66828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03" w:type="dxa"/>
            <w:tcBorders>
              <w:top w:val="single" w:color="000000" w:sz="4" w:space="0"/>
              <w:left w:val="single" w:color="000000" w:sz="4" w:space="0"/>
              <w:bottom w:val="single" w:color="000000" w:sz="4" w:space="0"/>
              <w:right w:val="single" w:color="000000" w:sz="4" w:space="0"/>
            </w:tcBorders>
            <w:noWrap w:val="0"/>
            <w:vAlign w:val="center"/>
          </w:tcPr>
          <w:p w14:paraId="3C9A4AA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序号</w:t>
            </w:r>
          </w:p>
        </w:tc>
        <w:tc>
          <w:tcPr>
            <w:tcW w:w="1082" w:type="dxa"/>
            <w:tcBorders>
              <w:top w:val="single" w:color="000000" w:sz="4" w:space="0"/>
              <w:left w:val="single" w:color="000000" w:sz="4" w:space="0"/>
              <w:bottom w:val="single" w:color="000000" w:sz="4" w:space="0"/>
              <w:right w:val="single" w:color="000000" w:sz="4" w:space="0"/>
            </w:tcBorders>
            <w:noWrap w:val="0"/>
            <w:vAlign w:val="center"/>
          </w:tcPr>
          <w:p w14:paraId="54DE89AE">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考评</w:t>
            </w:r>
            <w:r>
              <w:rPr>
                <w:rFonts w:hint="eastAsia" w:ascii="仿宋" w:hAnsi="仿宋" w:eastAsia="仿宋" w:cs="仿宋"/>
                <w:i w:val="0"/>
                <w:iCs w:val="0"/>
                <w:snapToGrid w:val="0"/>
                <w:color w:val="auto"/>
                <w:kern w:val="0"/>
                <w:sz w:val="22"/>
                <w:szCs w:val="22"/>
                <w:highlight w:val="none"/>
                <w:u w:val="none"/>
                <w:lang w:val="en-US" w:eastAsia="zh-CN" w:bidi="ar"/>
              </w:rPr>
              <w:br w:type="textWrapping"/>
            </w:r>
            <w:r>
              <w:rPr>
                <w:rFonts w:hint="eastAsia" w:ascii="仿宋" w:hAnsi="仿宋" w:eastAsia="仿宋" w:cs="仿宋"/>
                <w:i w:val="0"/>
                <w:iCs w:val="0"/>
                <w:snapToGrid w:val="0"/>
                <w:color w:val="auto"/>
                <w:kern w:val="0"/>
                <w:sz w:val="22"/>
                <w:szCs w:val="22"/>
                <w:highlight w:val="none"/>
                <w:u w:val="none"/>
                <w:lang w:val="en-US" w:eastAsia="zh-CN" w:bidi="ar"/>
              </w:rPr>
              <w:t>项目</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438D5D76">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评分</w:t>
            </w:r>
            <w:r>
              <w:rPr>
                <w:rFonts w:hint="eastAsia" w:ascii="仿宋" w:hAnsi="仿宋" w:eastAsia="仿宋" w:cs="仿宋"/>
                <w:i w:val="0"/>
                <w:iCs w:val="0"/>
                <w:snapToGrid w:val="0"/>
                <w:color w:val="auto"/>
                <w:kern w:val="0"/>
                <w:sz w:val="22"/>
                <w:szCs w:val="22"/>
                <w:highlight w:val="none"/>
                <w:u w:val="none"/>
                <w:lang w:val="en-US" w:eastAsia="zh-CN" w:bidi="ar"/>
              </w:rPr>
              <w:br w:type="textWrapping"/>
            </w:r>
            <w:r>
              <w:rPr>
                <w:rFonts w:hint="eastAsia" w:ascii="仿宋" w:hAnsi="仿宋" w:eastAsia="仿宋" w:cs="仿宋"/>
                <w:i w:val="0"/>
                <w:iCs w:val="0"/>
                <w:snapToGrid w:val="0"/>
                <w:color w:val="auto"/>
                <w:kern w:val="0"/>
                <w:sz w:val="22"/>
                <w:szCs w:val="22"/>
                <w:highlight w:val="none"/>
                <w:u w:val="none"/>
                <w:lang w:val="en-US" w:eastAsia="zh-CN" w:bidi="ar"/>
              </w:rPr>
              <w:t>内容</w:t>
            </w: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412D4C0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评分标准</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E9F8A1A">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分值</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65D454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得分</w:t>
            </w:r>
          </w:p>
        </w:tc>
      </w:tr>
      <w:tr w14:paraId="5AA93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703" w:type="dxa"/>
            <w:vMerge w:val="restart"/>
            <w:tcBorders>
              <w:top w:val="single" w:color="000000" w:sz="4" w:space="0"/>
              <w:left w:val="single" w:color="000000" w:sz="4" w:space="0"/>
              <w:bottom w:val="nil"/>
              <w:right w:val="single" w:color="000000" w:sz="4" w:space="0"/>
            </w:tcBorders>
            <w:noWrap w:val="0"/>
            <w:vAlign w:val="center"/>
          </w:tcPr>
          <w:p w14:paraId="4A58F91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1</w:t>
            </w:r>
          </w:p>
        </w:tc>
        <w:tc>
          <w:tcPr>
            <w:tcW w:w="1082" w:type="dxa"/>
            <w:vMerge w:val="restart"/>
            <w:tcBorders>
              <w:top w:val="single" w:color="000000" w:sz="4" w:space="0"/>
              <w:left w:val="single" w:color="000000" w:sz="4" w:space="0"/>
              <w:bottom w:val="nil"/>
              <w:right w:val="single" w:color="000000" w:sz="4" w:space="0"/>
            </w:tcBorders>
            <w:noWrap w:val="0"/>
            <w:vAlign w:val="center"/>
          </w:tcPr>
          <w:p w14:paraId="1289C916">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运行方案及宣传培训</w:t>
            </w:r>
            <w:r>
              <w:rPr>
                <w:rFonts w:hint="eastAsia" w:ascii="仿宋" w:hAnsi="仿宋" w:eastAsia="仿宋" w:cs="仿宋"/>
                <w:i w:val="0"/>
                <w:iCs w:val="0"/>
                <w:snapToGrid w:val="0"/>
                <w:color w:val="auto"/>
                <w:kern w:val="0"/>
                <w:sz w:val="22"/>
                <w:szCs w:val="22"/>
                <w:highlight w:val="none"/>
                <w:u w:val="none"/>
                <w:lang w:val="en-US" w:eastAsia="zh-CN" w:bidi="ar"/>
              </w:rPr>
              <w:br w:type="textWrapping"/>
            </w:r>
            <w:r>
              <w:rPr>
                <w:rFonts w:hint="eastAsia" w:ascii="仿宋" w:hAnsi="仿宋" w:eastAsia="仿宋" w:cs="仿宋"/>
                <w:i w:val="0"/>
                <w:iCs w:val="0"/>
                <w:snapToGrid w:val="0"/>
                <w:color w:val="auto"/>
                <w:kern w:val="0"/>
                <w:sz w:val="22"/>
                <w:szCs w:val="22"/>
                <w:highlight w:val="none"/>
                <w:u w:val="none"/>
                <w:lang w:val="en-US" w:eastAsia="zh-CN" w:bidi="ar"/>
              </w:rPr>
              <w:t>(30分)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14:paraId="330E399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实施方案及工作计划(15分)</w:t>
            </w: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1AACE53D">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结合富平县实际情况制定富平县生活垃圾分类运行服务工作实施方案</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3C1919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1576C93">
            <w:pPr>
              <w:jc w:val="center"/>
              <w:rPr>
                <w:rFonts w:hint="eastAsia" w:ascii="仿宋" w:hAnsi="仿宋" w:eastAsia="仿宋" w:cs="仿宋"/>
                <w:i w:val="0"/>
                <w:iCs w:val="0"/>
                <w:color w:val="auto"/>
                <w:sz w:val="22"/>
                <w:szCs w:val="22"/>
                <w:highlight w:val="none"/>
                <w:u w:val="none"/>
              </w:rPr>
            </w:pPr>
          </w:p>
        </w:tc>
      </w:tr>
      <w:tr w14:paraId="4E845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703" w:type="dxa"/>
            <w:vMerge w:val="continue"/>
            <w:tcBorders>
              <w:top w:val="single" w:color="000000" w:sz="4" w:space="0"/>
              <w:left w:val="single" w:color="000000" w:sz="4" w:space="0"/>
              <w:bottom w:val="nil"/>
              <w:right w:val="single" w:color="000000" w:sz="4" w:space="0"/>
            </w:tcBorders>
            <w:noWrap w:val="0"/>
            <w:vAlign w:val="center"/>
          </w:tcPr>
          <w:p w14:paraId="1EA11F29">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nil"/>
              <w:right w:val="single" w:color="000000" w:sz="4" w:space="0"/>
            </w:tcBorders>
            <w:noWrap w:val="0"/>
            <w:vAlign w:val="center"/>
          </w:tcPr>
          <w:p w14:paraId="35DEA2EE">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F8C840">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1BF3EFE4">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每日报送生活垃圾分类工作情况</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B5CF74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C9451E2">
            <w:pPr>
              <w:rPr>
                <w:rFonts w:hint="eastAsia" w:ascii="仿宋" w:hAnsi="仿宋" w:eastAsia="仿宋" w:cs="仿宋"/>
                <w:i w:val="0"/>
                <w:iCs w:val="0"/>
                <w:color w:val="auto"/>
                <w:sz w:val="22"/>
                <w:szCs w:val="22"/>
                <w:highlight w:val="none"/>
                <w:u w:val="none"/>
              </w:rPr>
            </w:pPr>
          </w:p>
        </w:tc>
      </w:tr>
      <w:tr w14:paraId="5F7A4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703" w:type="dxa"/>
            <w:vMerge w:val="continue"/>
            <w:tcBorders>
              <w:top w:val="single" w:color="000000" w:sz="4" w:space="0"/>
              <w:left w:val="single" w:color="000000" w:sz="4" w:space="0"/>
              <w:bottom w:val="nil"/>
              <w:right w:val="single" w:color="000000" w:sz="4" w:space="0"/>
            </w:tcBorders>
            <w:noWrap w:val="0"/>
            <w:vAlign w:val="center"/>
          </w:tcPr>
          <w:p w14:paraId="2F515032">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nil"/>
              <w:right w:val="single" w:color="000000" w:sz="4" w:space="0"/>
            </w:tcBorders>
            <w:noWrap w:val="0"/>
            <w:vAlign w:val="center"/>
          </w:tcPr>
          <w:p w14:paraId="3C6B6E60">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85B934">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7556297D">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每周报送生活垃圾分类工作总结</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3D7F72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3</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6DC8124C">
            <w:pPr>
              <w:rPr>
                <w:rFonts w:hint="eastAsia" w:ascii="仿宋" w:hAnsi="仿宋" w:eastAsia="仿宋" w:cs="仿宋"/>
                <w:i w:val="0"/>
                <w:iCs w:val="0"/>
                <w:color w:val="auto"/>
                <w:sz w:val="22"/>
                <w:szCs w:val="22"/>
                <w:highlight w:val="none"/>
                <w:u w:val="none"/>
              </w:rPr>
            </w:pPr>
          </w:p>
        </w:tc>
      </w:tr>
      <w:tr w14:paraId="7F262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703" w:type="dxa"/>
            <w:vMerge w:val="continue"/>
            <w:tcBorders>
              <w:top w:val="single" w:color="000000" w:sz="4" w:space="0"/>
              <w:left w:val="single" w:color="000000" w:sz="4" w:space="0"/>
              <w:bottom w:val="nil"/>
              <w:right w:val="single" w:color="000000" w:sz="4" w:space="0"/>
            </w:tcBorders>
            <w:noWrap w:val="0"/>
            <w:vAlign w:val="center"/>
          </w:tcPr>
          <w:p w14:paraId="4B8CB11F">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nil"/>
              <w:right w:val="single" w:color="000000" w:sz="4" w:space="0"/>
            </w:tcBorders>
            <w:noWrap w:val="0"/>
            <w:vAlign w:val="center"/>
          </w:tcPr>
          <w:p w14:paraId="0BF1B88E">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D257BE">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0314C150">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 xml:space="preserve">每月报送本月生活垃圾分类工作总结及下月工作计划，具备实操性 </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9ABD26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4D81435">
            <w:pPr>
              <w:rPr>
                <w:rFonts w:hint="eastAsia" w:ascii="仿宋" w:hAnsi="仿宋" w:eastAsia="仿宋" w:cs="仿宋"/>
                <w:i w:val="0"/>
                <w:iCs w:val="0"/>
                <w:color w:val="auto"/>
                <w:sz w:val="22"/>
                <w:szCs w:val="22"/>
                <w:highlight w:val="none"/>
                <w:u w:val="none"/>
              </w:rPr>
            </w:pPr>
          </w:p>
        </w:tc>
      </w:tr>
      <w:tr w14:paraId="30925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703" w:type="dxa"/>
            <w:vMerge w:val="continue"/>
            <w:tcBorders>
              <w:top w:val="single" w:color="000000" w:sz="4" w:space="0"/>
              <w:left w:val="single" w:color="000000" w:sz="4" w:space="0"/>
              <w:bottom w:val="nil"/>
              <w:right w:val="single" w:color="000000" w:sz="4" w:space="0"/>
            </w:tcBorders>
            <w:noWrap w:val="0"/>
            <w:vAlign w:val="center"/>
          </w:tcPr>
          <w:p w14:paraId="086F877A">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nil"/>
              <w:right w:val="single" w:color="000000" w:sz="4" w:space="0"/>
            </w:tcBorders>
            <w:noWrap w:val="0"/>
            <w:vAlign w:val="center"/>
          </w:tcPr>
          <w:p w14:paraId="07949C92">
            <w:pPr>
              <w:jc w:val="center"/>
              <w:rPr>
                <w:rFonts w:hint="eastAsia" w:ascii="仿宋" w:hAnsi="仿宋" w:eastAsia="仿宋" w:cs="仿宋"/>
                <w:i w:val="0"/>
                <w:iCs w:val="0"/>
                <w:color w:val="auto"/>
                <w:sz w:val="22"/>
                <w:szCs w:val="22"/>
                <w:highlight w:val="none"/>
                <w:u w:val="none"/>
              </w:rPr>
            </w:pPr>
          </w:p>
        </w:tc>
        <w:tc>
          <w:tcPr>
            <w:tcW w:w="1575" w:type="dxa"/>
            <w:vMerge w:val="restart"/>
            <w:tcBorders>
              <w:top w:val="nil"/>
              <w:left w:val="single" w:color="000000" w:sz="4" w:space="0"/>
              <w:bottom w:val="nil"/>
              <w:right w:val="single" w:color="000000" w:sz="4" w:space="0"/>
            </w:tcBorders>
            <w:noWrap w:val="0"/>
            <w:vAlign w:val="center"/>
          </w:tcPr>
          <w:p w14:paraId="6D1ADD5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宣传</w:t>
            </w:r>
            <w:r>
              <w:rPr>
                <w:rFonts w:hint="eastAsia" w:ascii="仿宋" w:hAnsi="仿宋" w:eastAsia="仿宋" w:cs="仿宋"/>
                <w:i w:val="0"/>
                <w:iCs w:val="0"/>
                <w:snapToGrid w:val="0"/>
                <w:color w:val="auto"/>
                <w:kern w:val="0"/>
                <w:sz w:val="22"/>
                <w:szCs w:val="22"/>
                <w:highlight w:val="none"/>
                <w:u w:val="none"/>
                <w:lang w:val="en-US" w:eastAsia="zh-CN" w:bidi="ar"/>
              </w:rPr>
              <w:br w:type="textWrapping"/>
            </w:r>
            <w:r>
              <w:rPr>
                <w:rFonts w:hint="eastAsia" w:ascii="仿宋" w:hAnsi="仿宋" w:eastAsia="仿宋" w:cs="仿宋"/>
                <w:i w:val="0"/>
                <w:iCs w:val="0"/>
                <w:snapToGrid w:val="0"/>
                <w:color w:val="auto"/>
                <w:kern w:val="0"/>
                <w:sz w:val="22"/>
                <w:szCs w:val="22"/>
                <w:highlight w:val="none"/>
                <w:u w:val="none"/>
                <w:lang w:val="en-US" w:eastAsia="zh-CN" w:bidi="ar"/>
              </w:rPr>
              <w:t>培训（15分）</w:t>
            </w: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04516ABD">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制定试点单位月度生活垃圾分类培训计划，培训对象、人数、内容、效果与生活垃圾分类工作需求相匹配</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54B5B21">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B326787">
            <w:pPr>
              <w:rPr>
                <w:rFonts w:hint="eastAsia" w:ascii="仿宋" w:hAnsi="仿宋" w:eastAsia="仿宋" w:cs="仿宋"/>
                <w:i w:val="0"/>
                <w:iCs w:val="0"/>
                <w:color w:val="auto"/>
                <w:sz w:val="22"/>
                <w:szCs w:val="22"/>
                <w:highlight w:val="none"/>
                <w:u w:val="none"/>
              </w:rPr>
            </w:pPr>
          </w:p>
        </w:tc>
      </w:tr>
      <w:tr w14:paraId="61F61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0" w:hRule="atLeast"/>
          <w:jc w:val="center"/>
        </w:trPr>
        <w:tc>
          <w:tcPr>
            <w:tcW w:w="703" w:type="dxa"/>
            <w:vMerge w:val="continue"/>
            <w:tcBorders>
              <w:top w:val="single" w:color="000000" w:sz="4" w:space="0"/>
              <w:left w:val="single" w:color="000000" w:sz="4" w:space="0"/>
              <w:bottom w:val="nil"/>
              <w:right w:val="single" w:color="000000" w:sz="4" w:space="0"/>
            </w:tcBorders>
            <w:noWrap w:val="0"/>
            <w:vAlign w:val="center"/>
          </w:tcPr>
          <w:p w14:paraId="6F045265">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nil"/>
              <w:right w:val="single" w:color="000000" w:sz="4" w:space="0"/>
            </w:tcBorders>
            <w:noWrap w:val="0"/>
            <w:vAlign w:val="center"/>
          </w:tcPr>
          <w:p w14:paraId="11C3DE23">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nil"/>
              <w:left w:val="single" w:color="000000" w:sz="4" w:space="0"/>
              <w:bottom w:val="nil"/>
              <w:right w:val="single" w:color="000000" w:sz="4" w:space="0"/>
            </w:tcBorders>
            <w:noWrap w:val="0"/>
            <w:vAlign w:val="center"/>
          </w:tcPr>
          <w:p w14:paraId="10172961">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194560DA">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组织诸如文艺演出、趣味活动、有奖活动、知识竞赛等形式多样、丰富多彩、群众喜闻乐见的宣传活动，教育引导群众主动参与垃圾分类活动，每月开展各类活动≥4次</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5F33E9B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5D9202B">
            <w:pPr>
              <w:rPr>
                <w:rFonts w:hint="eastAsia" w:ascii="仿宋" w:hAnsi="仿宋" w:eastAsia="仿宋" w:cs="仿宋"/>
                <w:i w:val="0"/>
                <w:iCs w:val="0"/>
                <w:color w:val="auto"/>
                <w:sz w:val="22"/>
                <w:szCs w:val="22"/>
                <w:highlight w:val="none"/>
                <w:u w:val="none"/>
              </w:rPr>
            </w:pPr>
          </w:p>
        </w:tc>
      </w:tr>
      <w:tr w14:paraId="7D4BD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03" w:type="dxa"/>
            <w:vMerge w:val="continue"/>
            <w:tcBorders>
              <w:top w:val="single" w:color="000000" w:sz="4" w:space="0"/>
              <w:left w:val="single" w:color="000000" w:sz="4" w:space="0"/>
              <w:bottom w:val="nil"/>
              <w:right w:val="single" w:color="000000" w:sz="4" w:space="0"/>
            </w:tcBorders>
            <w:noWrap w:val="0"/>
            <w:vAlign w:val="center"/>
          </w:tcPr>
          <w:p w14:paraId="6A9D98F8">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nil"/>
              <w:right w:val="single" w:color="000000" w:sz="4" w:space="0"/>
            </w:tcBorders>
            <w:noWrap w:val="0"/>
            <w:vAlign w:val="center"/>
          </w:tcPr>
          <w:p w14:paraId="7EDCFEF7">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nil"/>
              <w:left w:val="single" w:color="000000" w:sz="4" w:space="0"/>
              <w:bottom w:val="nil"/>
              <w:right w:val="single" w:color="000000" w:sz="4" w:space="0"/>
            </w:tcBorders>
            <w:noWrap w:val="0"/>
            <w:vAlign w:val="center"/>
          </w:tcPr>
          <w:p w14:paraId="74766940">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31742389">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利用传统媒体、多媒体等方式，宣传富平县生活垃圾分类工作，每月至少宣传一次</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966B1B1">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4D434F57">
            <w:pPr>
              <w:rPr>
                <w:rFonts w:hint="eastAsia" w:ascii="仿宋" w:hAnsi="仿宋" w:eastAsia="仿宋" w:cs="仿宋"/>
                <w:i w:val="0"/>
                <w:iCs w:val="0"/>
                <w:color w:val="auto"/>
                <w:sz w:val="22"/>
                <w:szCs w:val="22"/>
                <w:highlight w:val="none"/>
                <w:u w:val="none"/>
              </w:rPr>
            </w:pPr>
          </w:p>
        </w:tc>
      </w:tr>
      <w:tr w14:paraId="7AAC4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jc w:val="center"/>
        </w:trPr>
        <w:tc>
          <w:tcPr>
            <w:tcW w:w="703" w:type="dxa"/>
            <w:vMerge w:val="restart"/>
            <w:tcBorders>
              <w:top w:val="single" w:color="000000" w:sz="4" w:space="0"/>
              <w:left w:val="single" w:color="000000" w:sz="4" w:space="0"/>
              <w:bottom w:val="single" w:color="000000" w:sz="4" w:space="0"/>
              <w:right w:val="single" w:color="000000" w:sz="4" w:space="0"/>
            </w:tcBorders>
            <w:noWrap w:val="0"/>
            <w:vAlign w:val="center"/>
          </w:tcPr>
          <w:p w14:paraId="030CFFD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2</w:t>
            </w:r>
          </w:p>
        </w:tc>
        <w:tc>
          <w:tcPr>
            <w:tcW w:w="1082" w:type="dxa"/>
            <w:vMerge w:val="restart"/>
            <w:tcBorders>
              <w:top w:val="single" w:color="000000" w:sz="4" w:space="0"/>
              <w:left w:val="single" w:color="000000" w:sz="4" w:space="0"/>
              <w:bottom w:val="single" w:color="000000" w:sz="4" w:space="0"/>
              <w:right w:val="single" w:color="000000" w:sz="4" w:space="0"/>
            </w:tcBorders>
            <w:noWrap w:val="0"/>
            <w:vAlign w:val="center"/>
          </w:tcPr>
          <w:p w14:paraId="715D6A16">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数据化信息平台建设（15分）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14:paraId="69C778D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数据统计、公众号台账   （15分）</w:t>
            </w: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5ACE85E0">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生活垃圾分类数字化信息平台按标准要求正常运行，包括（分类记录查询、检查数据统计、分类评分）</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35FEDB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DBEFD2C">
            <w:pPr>
              <w:rPr>
                <w:rFonts w:hint="eastAsia" w:ascii="仿宋" w:hAnsi="仿宋" w:eastAsia="仿宋" w:cs="仿宋"/>
                <w:i w:val="0"/>
                <w:iCs w:val="0"/>
                <w:color w:val="auto"/>
                <w:sz w:val="22"/>
                <w:szCs w:val="22"/>
                <w:highlight w:val="none"/>
                <w:u w:val="none"/>
              </w:rPr>
            </w:pPr>
          </w:p>
        </w:tc>
      </w:tr>
      <w:tr w14:paraId="31C58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2E1F89">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EDE1A4">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58956A">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439E6794">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按要求做好富平县城区生活垃圾分类微信公众号，定期定时发布相关信息，每周发布原创文章≥3篇</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D9AA6F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CCEF2AB">
            <w:pPr>
              <w:rPr>
                <w:rFonts w:hint="eastAsia" w:ascii="仿宋" w:hAnsi="仿宋" w:eastAsia="仿宋" w:cs="仿宋"/>
                <w:i w:val="0"/>
                <w:iCs w:val="0"/>
                <w:color w:val="auto"/>
                <w:sz w:val="22"/>
                <w:szCs w:val="22"/>
                <w:highlight w:val="none"/>
                <w:u w:val="none"/>
              </w:rPr>
            </w:pPr>
          </w:p>
        </w:tc>
      </w:tr>
      <w:tr w14:paraId="5E6AA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D6063F">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834EE0">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A6ED07">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4DCAA651">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生活垃圾分类小游戏和速查小程序功能正式运行</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2045367C">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EE584E3">
            <w:pPr>
              <w:rPr>
                <w:rFonts w:hint="eastAsia" w:ascii="仿宋" w:hAnsi="仿宋" w:eastAsia="仿宋" w:cs="仿宋"/>
                <w:i w:val="0"/>
                <w:iCs w:val="0"/>
                <w:color w:val="auto"/>
                <w:sz w:val="22"/>
                <w:szCs w:val="22"/>
                <w:highlight w:val="none"/>
                <w:u w:val="none"/>
              </w:rPr>
            </w:pPr>
          </w:p>
        </w:tc>
      </w:tr>
      <w:tr w14:paraId="0D209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03" w:type="dxa"/>
            <w:vMerge w:val="restart"/>
            <w:tcBorders>
              <w:top w:val="single" w:color="000000" w:sz="4" w:space="0"/>
              <w:left w:val="single" w:color="000000" w:sz="4" w:space="0"/>
              <w:bottom w:val="single" w:color="000000" w:sz="4" w:space="0"/>
              <w:right w:val="single" w:color="000000" w:sz="4" w:space="0"/>
            </w:tcBorders>
            <w:noWrap w:val="0"/>
            <w:vAlign w:val="center"/>
          </w:tcPr>
          <w:p w14:paraId="3880184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3</w:t>
            </w:r>
          </w:p>
        </w:tc>
        <w:tc>
          <w:tcPr>
            <w:tcW w:w="1082" w:type="dxa"/>
            <w:vMerge w:val="restart"/>
            <w:tcBorders>
              <w:top w:val="single" w:color="000000" w:sz="4" w:space="0"/>
              <w:left w:val="single" w:color="000000" w:sz="4" w:space="0"/>
              <w:bottom w:val="single" w:color="000000" w:sz="4" w:space="0"/>
              <w:right w:val="single" w:color="000000" w:sz="4" w:space="0"/>
            </w:tcBorders>
            <w:noWrap w:val="0"/>
            <w:vAlign w:val="center"/>
          </w:tcPr>
          <w:p w14:paraId="5804832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现场监</w:t>
            </w:r>
            <w:r>
              <w:rPr>
                <w:rFonts w:hint="eastAsia" w:ascii="仿宋" w:hAnsi="仿宋" w:eastAsia="仿宋" w:cs="仿宋"/>
                <w:i w:val="0"/>
                <w:iCs w:val="0"/>
                <w:snapToGrid w:val="0"/>
                <w:color w:val="auto"/>
                <w:kern w:val="0"/>
                <w:sz w:val="22"/>
                <w:szCs w:val="22"/>
                <w:highlight w:val="none"/>
                <w:u w:val="none"/>
                <w:lang w:val="en-US" w:eastAsia="zh-CN" w:bidi="ar"/>
              </w:rPr>
              <w:br w:type="textWrapping"/>
            </w:r>
            <w:r>
              <w:rPr>
                <w:rFonts w:hint="eastAsia" w:ascii="仿宋" w:hAnsi="仿宋" w:eastAsia="仿宋" w:cs="仿宋"/>
                <w:i w:val="0"/>
                <w:iCs w:val="0"/>
                <w:snapToGrid w:val="0"/>
                <w:color w:val="auto"/>
                <w:kern w:val="0"/>
                <w:sz w:val="22"/>
                <w:szCs w:val="22"/>
                <w:highlight w:val="none"/>
                <w:u w:val="none"/>
                <w:lang w:val="en-US" w:eastAsia="zh-CN" w:bidi="ar"/>
              </w:rPr>
              <w:t>督指导（35分）</w:t>
            </w:r>
          </w:p>
        </w:tc>
        <w:tc>
          <w:tcPr>
            <w:tcW w:w="1575" w:type="dxa"/>
            <w:vMerge w:val="restart"/>
            <w:tcBorders>
              <w:top w:val="single" w:color="000000" w:sz="4" w:space="0"/>
              <w:left w:val="single" w:color="000000" w:sz="4" w:space="0"/>
              <w:bottom w:val="single" w:color="000000" w:sz="4" w:space="0"/>
              <w:right w:val="single" w:color="000000" w:sz="4" w:space="0"/>
            </w:tcBorders>
            <w:noWrap w:val="0"/>
            <w:vAlign w:val="center"/>
          </w:tcPr>
          <w:p w14:paraId="5C3CCE97">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督导人员工作职责</w:t>
            </w:r>
            <w:r>
              <w:rPr>
                <w:rFonts w:hint="eastAsia" w:ascii="仿宋" w:hAnsi="仿宋" w:eastAsia="仿宋" w:cs="仿宋"/>
                <w:i w:val="0"/>
                <w:iCs w:val="0"/>
                <w:snapToGrid w:val="0"/>
                <w:color w:val="auto"/>
                <w:kern w:val="0"/>
                <w:sz w:val="22"/>
                <w:szCs w:val="22"/>
                <w:highlight w:val="none"/>
                <w:u w:val="none"/>
                <w:lang w:val="en-US" w:eastAsia="zh-CN" w:bidi="ar"/>
              </w:rPr>
              <w:br w:type="textWrapping"/>
            </w:r>
            <w:r>
              <w:rPr>
                <w:rFonts w:hint="eastAsia" w:ascii="仿宋" w:hAnsi="仿宋" w:eastAsia="仿宋" w:cs="仿宋"/>
                <w:i w:val="0"/>
                <w:iCs w:val="0"/>
                <w:snapToGrid w:val="0"/>
                <w:color w:val="auto"/>
                <w:kern w:val="0"/>
                <w:sz w:val="22"/>
                <w:szCs w:val="22"/>
                <w:highlight w:val="none"/>
                <w:u w:val="none"/>
                <w:lang w:val="en-US" w:eastAsia="zh-CN" w:bidi="ar"/>
              </w:rPr>
              <w:t>（35分）</w:t>
            </w: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0110B829">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按要求足额配置督导人员，主动、有效督导居民群众进行生活垃圾分类工作</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BB2D20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59EAE90">
            <w:pPr>
              <w:rPr>
                <w:rFonts w:hint="eastAsia" w:ascii="仿宋" w:hAnsi="仿宋" w:eastAsia="仿宋" w:cs="仿宋"/>
                <w:i w:val="0"/>
                <w:iCs w:val="0"/>
                <w:color w:val="auto"/>
                <w:sz w:val="22"/>
                <w:szCs w:val="22"/>
                <w:highlight w:val="none"/>
                <w:u w:val="none"/>
              </w:rPr>
            </w:pPr>
          </w:p>
        </w:tc>
      </w:tr>
      <w:tr w14:paraId="2700D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6BF629">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A1B91E">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3FF7EC">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06C7CF23">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上岗人员统一着装，佩戴工牌，注意文明礼仪，礼貌用语</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4A317A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25C48DF">
            <w:pPr>
              <w:rPr>
                <w:rFonts w:hint="eastAsia" w:ascii="仿宋" w:hAnsi="仿宋" w:eastAsia="仿宋" w:cs="仿宋"/>
                <w:i w:val="0"/>
                <w:iCs w:val="0"/>
                <w:color w:val="auto"/>
                <w:sz w:val="22"/>
                <w:szCs w:val="22"/>
                <w:highlight w:val="none"/>
                <w:u w:val="none"/>
              </w:rPr>
            </w:pPr>
          </w:p>
        </w:tc>
      </w:tr>
      <w:tr w14:paraId="47838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B1FB11">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0C5388">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1B8908">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31E99CDD">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针对单位、小区、学校等试点开展一对一宣传讲解，并发放宣传资料，每月宣传≥1500人，并建立台账</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1CAE1662">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56A9D94">
            <w:pPr>
              <w:rPr>
                <w:rFonts w:hint="eastAsia" w:ascii="仿宋" w:hAnsi="仿宋" w:eastAsia="仿宋" w:cs="仿宋"/>
                <w:i w:val="0"/>
                <w:iCs w:val="0"/>
                <w:color w:val="auto"/>
                <w:sz w:val="22"/>
                <w:szCs w:val="22"/>
                <w:highlight w:val="none"/>
                <w:u w:val="none"/>
              </w:rPr>
            </w:pPr>
          </w:p>
        </w:tc>
      </w:tr>
      <w:tr w14:paraId="351AD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A39E72">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86C79B">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68C64E">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37132C37">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协助试点单位做好宣传栏、上墙制度、标识标语牌等宣传氛围布置</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4D1485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0F928AE2">
            <w:pPr>
              <w:rPr>
                <w:rFonts w:hint="eastAsia" w:ascii="仿宋" w:hAnsi="仿宋" w:eastAsia="仿宋" w:cs="仿宋"/>
                <w:i w:val="0"/>
                <w:iCs w:val="0"/>
                <w:color w:val="auto"/>
                <w:sz w:val="22"/>
                <w:szCs w:val="22"/>
                <w:highlight w:val="none"/>
                <w:u w:val="none"/>
              </w:rPr>
            </w:pPr>
          </w:p>
        </w:tc>
      </w:tr>
      <w:tr w14:paraId="681D0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1DC72D">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5B32B1">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C5826D">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5F017255">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指导城区各业态生活垃圾分类工作开展（包括方案打造、宣传培训、台账建立等）</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126C8E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C44DA9A">
            <w:pPr>
              <w:rPr>
                <w:rFonts w:hint="eastAsia" w:ascii="仿宋" w:hAnsi="仿宋" w:eastAsia="仿宋" w:cs="仿宋"/>
                <w:i w:val="0"/>
                <w:iCs w:val="0"/>
                <w:color w:val="auto"/>
                <w:sz w:val="22"/>
                <w:szCs w:val="22"/>
                <w:highlight w:val="none"/>
                <w:u w:val="none"/>
              </w:rPr>
            </w:pPr>
          </w:p>
        </w:tc>
      </w:tr>
      <w:tr w14:paraId="7B112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0E71B0">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B39D2B">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FB69DC">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64121F7C">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指导试点单位形成长期有效的垃圾分类工作体系，每周检查1次以上</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3C557F1A">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5C3C29E4">
            <w:pPr>
              <w:rPr>
                <w:rFonts w:hint="eastAsia" w:ascii="仿宋" w:hAnsi="仿宋" w:eastAsia="仿宋" w:cs="仿宋"/>
                <w:i w:val="0"/>
                <w:iCs w:val="0"/>
                <w:color w:val="auto"/>
                <w:sz w:val="22"/>
                <w:szCs w:val="22"/>
                <w:highlight w:val="none"/>
                <w:u w:val="none"/>
              </w:rPr>
            </w:pPr>
          </w:p>
        </w:tc>
      </w:tr>
      <w:tr w14:paraId="32FD7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61ABB9">
            <w:pPr>
              <w:jc w:val="center"/>
              <w:rPr>
                <w:rFonts w:hint="eastAsia" w:ascii="仿宋" w:hAnsi="仿宋" w:eastAsia="仿宋" w:cs="仿宋"/>
                <w:i w:val="0"/>
                <w:iCs w:val="0"/>
                <w:color w:val="auto"/>
                <w:sz w:val="22"/>
                <w:szCs w:val="22"/>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8877BC">
            <w:pPr>
              <w:jc w:val="center"/>
              <w:rPr>
                <w:rFonts w:hint="eastAsia" w:ascii="仿宋" w:hAnsi="仿宋" w:eastAsia="仿宋" w:cs="仿宋"/>
                <w:i w:val="0"/>
                <w:iCs w:val="0"/>
                <w:color w:val="auto"/>
                <w:sz w:val="22"/>
                <w:szCs w:val="22"/>
                <w:highlight w:val="none"/>
                <w:u w:val="none"/>
              </w:rPr>
            </w:pPr>
          </w:p>
        </w:tc>
        <w:tc>
          <w:tcPr>
            <w:tcW w:w="157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696D30">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0AF4B86F">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根据《富平县生活垃圾分类示范创建标准》对各试点单位的垃圾分类开展情况，进行考评打分，并进行月汇总排名</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0ED77BF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563C727">
            <w:pPr>
              <w:rPr>
                <w:rFonts w:hint="eastAsia" w:ascii="仿宋" w:hAnsi="仿宋" w:eastAsia="仿宋" w:cs="仿宋"/>
                <w:i w:val="0"/>
                <w:iCs w:val="0"/>
                <w:color w:val="auto"/>
                <w:sz w:val="22"/>
                <w:szCs w:val="22"/>
                <w:highlight w:val="none"/>
                <w:u w:val="none"/>
              </w:rPr>
            </w:pPr>
          </w:p>
        </w:tc>
      </w:tr>
      <w:tr w14:paraId="79EBD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703" w:type="dxa"/>
            <w:tcBorders>
              <w:top w:val="single" w:color="000000" w:sz="4" w:space="0"/>
              <w:left w:val="single" w:color="000000" w:sz="4" w:space="0"/>
              <w:bottom w:val="single" w:color="000000" w:sz="4" w:space="0"/>
              <w:right w:val="single" w:color="000000" w:sz="4" w:space="0"/>
            </w:tcBorders>
            <w:noWrap w:val="0"/>
            <w:vAlign w:val="center"/>
          </w:tcPr>
          <w:p w14:paraId="3959692F">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4</w:t>
            </w:r>
          </w:p>
        </w:tc>
        <w:tc>
          <w:tcPr>
            <w:tcW w:w="2657" w:type="dxa"/>
            <w:gridSpan w:val="2"/>
            <w:tcBorders>
              <w:top w:val="single" w:color="000000" w:sz="4" w:space="0"/>
              <w:left w:val="single" w:color="000000" w:sz="4" w:space="0"/>
              <w:bottom w:val="single" w:color="000000" w:sz="4" w:space="0"/>
              <w:right w:val="single" w:color="000000" w:sz="4" w:space="0"/>
            </w:tcBorders>
            <w:noWrap w:val="0"/>
            <w:vAlign w:val="center"/>
          </w:tcPr>
          <w:p w14:paraId="1FD2060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 xml:space="preserve">居民知晓率(5分) </w:t>
            </w: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684E4588">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试点单位居民生活垃圾分类知晓率≥80%</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B20E4B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D569F55">
            <w:pPr>
              <w:rPr>
                <w:rFonts w:hint="eastAsia" w:ascii="仿宋" w:hAnsi="仿宋" w:eastAsia="仿宋" w:cs="仿宋"/>
                <w:i w:val="0"/>
                <w:iCs w:val="0"/>
                <w:color w:val="auto"/>
                <w:sz w:val="22"/>
                <w:szCs w:val="22"/>
                <w:highlight w:val="none"/>
                <w:u w:val="none"/>
              </w:rPr>
            </w:pPr>
          </w:p>
        </w:tc>
      </w:tr>
      <w:tr w14:paraId="5221B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703" w:type="dxa"/>
            <w:tcBorders>
              <w:top w:val="single" w:color="000000" w:sz="4" w:space="0"/>
              <w:left w:val="single" w:color="000000" w:sz="4" w:space="0"/>
              <w:bottom w:val="single" w:color="000000" w:sz="4" w:space="0"/>
              <w:right w:val="single" w:color="000000" w:sz="4" w:space="0"/>
            </w:tcBorders>
            <w:noWrap w:val="0"/>
            <w:vAlign w:val="center"/>
          </w:tcPr>
          <w:p w14:paraId="3FA60AC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2657" w:type="dxa"/>
            <w:gridSpan w:val="2"/>
            <w:tcBorders>
              <w:top w:val="single" w:color="000000" w:sz="4" w:space="0"/>
              <w:left w:val="single" w:color="000000" w:sz="4" w:space="0"/>
              <w:bottom w:val="single" w:color="000000" w:sz="4" w:space="0"/>
              <w:right w:val="single" w:color="000000" w:sz="4" w:space="0"/>
            </w:tcBorders>
            <w:noWrap w:val="0"/>
            <w:vAlign w:val="center"/>
          </w:tcPr>
          <w:p w14:paraId="6FDDB34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投放准确率（5分）</w:t>
            </w: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741E36D7">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试点单位居民生活垃圾分类投放准确率≥65%</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463EA61">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2853BD4E">
            <w:pPr>
              <w:rPr>
                <w:rFonts w:hint="eastAsia" w:ascii="仿宋" w:hAnsi="仿宋" w:eastAsia="仿宋" w:cs="仿宋"/>
                <w:i w:val="0"/>
                <w:iCs w:val="0"/>
                <w:color w:val="auto"/>
                <w:sz w:val="22"/>
                <w:szCs w:val="22"/>
                <w:highlight w:val="none"/>
                <w:u w:val="none"/>
              </w:rPr>
            </w:pPr>
          </w:p>
        </w:tc>
      </w:tr>
      <w:tr w14:paraId="03B4C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703" w:type="dxa"/>
            <w:vMerge w:val="restart"/>
            <w:tcBorders>
              <w:top w:val="single" w:color="000000" w:sz="4" w:space="0"/>
              <w:left w:val="single" w:color="000000" w:sz="4" w:space="0"/>
              <w:bottom w:val="single" w:color="000000" w:sz="4" w:space="0"/>
              <w:right w:val="single" w:color="000000" w:sz="4" w:space="0"/>
            </w:tcBorders>
            <w:noWrap w:val="0"/>
            <w:vAlign w:val="center"/>
          </w:tcPr>
          <w:p w14:paraId="0DA02E8F">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6</w:t>
            </w:r>
          </w:p>
        </w:tc>
        <w:tc>
          <w:tcPr>
            <w:tcW w:w="265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CDD36AF">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安全管理（10分）</w:t>
            </w: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63890528">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上岗人员遵纪守法，骑车需佩戴安全头盔，遵守交通规则</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2710D81">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1C0E3FFE">
            <w:pPr>
              <w:rPr>
                <w:rFonts w:hint="eastAsia" w:ascii="仿宋" w:hAnsi="仿宋" w:eastAsia="仿宋" w:cs="仿宋"/>
                <w:i w:val="0"/>
                <w:iCs w:val="0"/>
                <w:color w:val="auto"/>
                <w:sz w:val="22"/>
                <w:szCs w:val="22"/>
                <w:highlight w:val="none"/>
                <w:u w:val="none"/>
              </w:rPr>
            </w:pPr>
          </w:p>
        </w:tc>
      </w:tr>
      <w:tr w14:paraId="2010A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7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601EAD">
            <w:pPr>
              <w:jc w:val="center"/>
              <w:rPr>
                <w:rFonts w:hint="eastAsia" w:ascii="仿宋" w:hAnsi="仿宋" w:eastAsia="仿宋" w:cs="仿宋"/>
                <w:i w:val="0"/>
                <w:iCs w:val="0"/>
                <w:color w:val="auto"/>
                <w:sz w:val="22"/>
                <w:szCs w:val="22"/>
                <w:highlight w:val="none"/>
                <w:u w:val="none"/>
              </w:rPr>
            </w:pPr>
          </w:p>
        </w:tc>
        <w:tc>
          <w:tcPr>
            <w:tcW w:w="265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C366E58">
            <w:pPr>
              <w:jc w:val="center"/>
              <w:rPr>
                <w:rFonts w:hint="eastAsia" w:ascii="仿宋" w:hAnsi="仿宋" w:eastAsia="仿宋" w:cs="仿宋"/>
                <w:i w:val="0"/>
                <w:iCs w:val="0"/>
                <w:color w:val="auto"/>
                <w:sz w:val="22"/>
                <w:szCs w:val="22"/>
                <w:highlight w:val="none"/>
                <w:u w:val="none"/>
              </w:rPr>
            </w:pPr>
          </w:p>
        </w:tc>
        <w:tc>
          <w:tcPr>
            <w:tcW w:w="5319" w:type="dxa"/>
            <w:tcBorders>
              <w:top w:val="single" w:color="000000" w:sz="4" w:space="0"/>
              <w:left w:val="single" w:color="000000" w:sz="4" w:space="0"/>
              <w:bottom w:val="single" w:color="000000" w:sz="4" w:space="0"/>
              <w:right w:val="single" w:color="000000" w:sz="4" w:space="0"/>
            </w:tcBorders>
            <w:noWrap w:val="0"/>
            <w:vAlign w:val="center"/>
          </w:tcPr>
          <w:p w14:paraId="08CFB134">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出现重大安全生产事故一起，一票否决，本月定为不及格；一般性安全生产事故，累计超过三起，本项得零分</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609DBFA2">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noWrap w:val="0"/>
            <w:vAlign w:val="center"/>
          </w:tcPr>
          <w:p w14:paraId="7F2831CB">
            <w:pPr>
              <w:rPr>
                <w:rFonts w:hint="eastAsia" w:ascii="仿宋" w:hAnsi="仿宋" w:eastAsia="仿宋" w:cs="仿宋"/>
                <w:i w:val="0"/>
                <w:iCs w:val="0"/>
                <w:color w:val="auto"/>
                <w:sz w:val="22"/>
                <w:szCs w:val="22"/>
                <w:highlight w:val="none"/>
                <w:u w:val="none"/>
              </w:rPr>
            </w:pPr>
          </w:p>
        </w:tc>
      </w:tr>
      <w:tr w14:paraId="1C438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3" w:type="dxa"/>
            <w:tcBorders>
              <w:top w:val="single" w:color="000000" w:sz="4" w:space="0"/>
              <w:left w:val="single" w:color="000000" w:sz="4" w:space="0"/>
              <w:bottom w:val="single" w:color="000000" w:sz="4" w:space="0"/>
              <w:right w:val="single" w:color="000000" w:sz="4" w:space="0"/>
            </w:tcBorders>
            <w:noWrap w:val="0"/>
            <w:vAlign w:val="center"/>
          </w:tcPr>
          <w:p w14:paraId="1FE4A3BB">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总计</w:t>
            </w:r>
          </w:p>
        </w:tc>
        <w:tc>
          <w:tcPr>
            <w:tcW w:w="1082" w:type="dxa"/>
            <w:tcBorders>
              <w:top w:val="single" w:color="000000" w:sz="4" w:space="0"/>
              <w:left w:val="single" w:color="000000" w:sz="4" w:space="0"/>
              <w:bottom w:val="single" w:color="000000" w:sz="4" w:space="0"/>
              <w:right w:val="single" w:color="000000" w:sz="4" w:space="0"/>
            </w:tcBorders>
            <w:noWrap w:val="0"/>
            <w:vAlign w:val="center"/>
          </w:tcPr>
          <w:p w14:paraId="65B8D457">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100分</w:t>
            </w:r>
          </w:p>
        </w:tc>
        <w:tc>
          <w:tcPr>
            <w:tcW w:w="8266" w:type="dxa"/>
            <w:gridSpan w:val="4"/>
            <w:tcBorders>
              <w:top w:val="single" w:color="000000" w:sz="4" w:space="0"/>
              <w:left w:val="single" w:color="000000" w:sz="4" w:space="0"/>
              <w:bottom w:val="single" w:color="000000" w:sz="4" w:space="0"/>
              <w:right w:val="single" w:color="000000" w:sz="4" w:space="0"/>
            </w:tcBorders>
            <w:noWrap w:val="0"/>
            <w:vAlign w:val="center"/>
          </w:tcPr>
          <w:p w14:paraId="1B4B8E7B">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本月得分</w:t>
            </w:r>
          </w:p>
        </w:tc>
      </w:tr>
      <w:tr w14:paraId="1FDE2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jc w:val="center"/>
        </w:trPr>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14:paraId="0A1A8236">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备注</w:t>
            </w:r>
          </w:p>
        </w:tc>
        <w:tc>
          <w:tcPr>
            <w:tcW w:w="8266" w:type="dxa"/>
            <w:gridSpan w:val="4"/>
            <w:tcBorders>
              <w:top w:val="single" w:color="000000" w:sz="4" w:space="0"/>
              <w:left w:val="single" w:color="000000" w:sz="4" w:space="0"/>
              <w:bottom w:val="single" w:color="000000" w:sz="4" w:space="0"/>
              <w:right w:val="single" w:color="000000" w:sz="4" w:space="0"/>
            </w:tcBorders>
            <w:noWrap w:val="0"/>
            <w:vAlign w:val="center"/>
          </w:tcPr>
          <w:p w14:paraId="272E8509">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snapToGrid w:val="0"/>
                <w:color w:val="auto"/>
                <w:kern w:val="0"/>
                <w:sz w:val="22"/>
                <w:szCs w:val="22"/>
                <w:highlight w:val="none"/>
                <w:u w:val="none"/>
                <w:lang w:val="en-US" w:eastAsia="zh-CN" w:bidi="ar"/>
              </w:rPr>
              <w:t>考核采取100分制，每个单项确定有不同标准分，得分总数不得超过标准分值。</w:t>
            </w:r>
          </w:p>
        </w:tc>
      </w:tr>
    </w:tbl>
    <w:p w14:paraId="0679627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C674C219-53A6-4912-873C-B3C2217D214D}"/>
  </w:font>
  <w:font w:name="仿宋">
    <w:panose1 w:val="02010609060101010101"/>
    <w:charset w:val="86"/>
    <w:family w:val="auto"/>
    <w:pitch w:val="default"/>
    <w:sig w:usb0="800002BF" w:usb1="38CF7CFA" w:usb2="00000016" w:usb3="00000000" w:csb0="00040001" w:csb1="00000000"/>
    <w:embedRegular r:id="rId2" w:fontKey="{FC7A3C51-6580-4CC4-A953-ECE1665D240F}"/>
  </w:font>
  <w:font w:name="方正仿宋_GB2312">
    <w:panose1 w:val="02000000000000000000"/>
    <w:charset w:val="86"/>
    <w:family w:val="auto"/>
    <w:pitch w:val="default"/>
    <w:sig w:usb0="A00002BF" w:usb1="184F6CFA" w:usb2="00000012" w:usb3="00000000" w:csb0="00040001" w:csb1="00000000"/>
    <w:embedRegular r:id="rId3" w:fontKey="{F782ECC4-96E5-457F-905F-8292EA0E745B}"/>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44102"/>
    <w:multiLevelType w:val="singleLevel"/>
    <w:tmpl w:val="008441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E3A7F"/>
    <w:rsid w:val="10B9340D"/>
    <w:rsid w:val="595166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1"/>
    <w:semiHidden/>
    <w:qFormat/>
    <w:uiPriority w:val="0"/>
    <w:rPr>
      <w:rFonts w:ascii="Arial" w:hAnsi="Arial" w:eastAsia="Arial" w:cs="Arial"/>
      <w:sz w:val="21"/>
      <w:szCs w:val="21"/>
      <w:lang w:val="en-US" w:eastAsia="en-US" w:bidi="ar-SA"/>
    </w:rPr>
  </w:style>
  <w:style w:type="table" w:styleId="5">
    <w:name w:val="Table Grid"/>
    <w:basedOn w:val="4"/>
    <w:qFormat/>
    <w:uiPriority w:val="0"/>
    <w:pPr>
      <w:widowControl w:val="0"/>
      <w:jc w:val="both"/>
    </w:pPr>
    <w:tblPr>
      <w:tblStyle w:val="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unhideWhenUsed/>
    <w:qFormat/>
    <w:uiPriority w:val="0"/>
    <w:tblPr>
      <w:tblStyle w:val="4"/>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4114</Words>
  <Characters>4283</Characters>
  <Lines>0</Lines>
  <Paragraphs>0</Paragraphs>
  <TotalTime>1</TotalTime>
  <ScaleCrop>false</ScaleCrop>
  <LinksUpToDate>false</LinksUpToDate>
  <CharactersWithSpaces>4486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2026-01-19T06:35:50Z</dcterms:created>
  <dc:creator>Admin</dc:creator>
  <cp:lastModifiedBy>向风而行</cp:lastModifiedBy>
  <dcterms:modified xsi:type="dcterms:W3CDTF">2026-01-19T06:41:19Z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eyJoZGlkIjoiMzNmNGMzZGYyMTM4NjViNzgzOTc0NmU0MzZhYzQ1Y2MiLCJ1c2VySWQiOiIzNzk1NzM3ODkifQ==</vt:lpwstr>
  </property>
  <property fmtid="{D5CDD505-2E9C-101B-9397-08002B2CF9AE}" pid="4" name="ICV">
    <vt:lpwstr>29269A9F5A0042288F35060AB00A85EA_13</vt:lpwstr>
  </property>
</Properties>
</file>