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0FF22">
      <w:pPr>
        <w:pStyle w:val="2"/>
        <w:numPr>
          <w:ilvl w:val="0"/>
          <w:numId w:val="0"/>
        </w:numPr>
        <w:spacing w:line="240" w:lineRule="auto"/>
        <w:jc w:val="center"/>
        <w:rPr>
          <w:rFonts w:hint="eastAsia" w:ascii="Times New Roman" w:hAnsi="Times New Roman" w:cs="Times New Roman"/>
          <w:color w:val="auto"/>
          <w:sz w:val="44"/>
          <w:szCs w:val="24"/>
        </w:rPr>
      </w:pPr>
      <w:r>
        <w:rPr>
          <w:rFonts w:hint="eastAsia" w:ascii="Times New Roman" w:hAnsi="Times New Roman" w:cs="Times New Roman"/>
          <w:color w:val="auto"/>
          <w:sz w:val="44"/>
          <w:szCs w:val="24"/>
        </w:rPr>
        <w:t>拟签订的合同条款</w:t>
      </w:r>
    </w:p>
    <w:p w14:paraId="2CC24632">
      <w:pPr>
        <w:bidi w:val="0"/>
        <w:rPr>
          <w:color w:val="auto"/>
        </w:rPr>
      </w:pPr>
    </w:p>
    <w:p w14:paraId="2D8F0E2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甲方：</w:t>
      </w:r>
    </w:p>
    <w:p w14:paraId="474465C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乙方： </w:t>
      </w:r>
    </w:p>
    <w:p w14:paraId="306C365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u w:val="single"/>
        </w:rPr>
        <w:t>(项目</w:t>
      </w:r>
      <w:r>
        <w:rPr>
          <w:rFonts w:hint="eastAsia" w:ascii="宋体" w:hAnsi="宋体" w:cs="宋体"/>
          <w:bCs/>
          <w:color w:val="auto"/>
          <w:sz w:val="24"/>
          <w:u w:val="single"/>
          <w:lang w:val="en-US" w:eastAsia="zh-CN"/>
        </w:rPr>
        <w:t>名称</w:t>
      </w:r>
      <w:r>
        <w:rPr>
          <w:rFonts w:hint="eastAsia" w:ascii="宋体" w:hAnsi="宋体" w:cs="宋体"/>
          <w:bCs/>
          <w:color w:val="auto"/>
          <w:sz w:val="24"/>
          <w:u w:val="single"/>
        </w:rPr>
        <w:t>：</w:t>
      </w:r>
      <w:r>
        <w:rPr>
          <w:rFonts w:hint="eastAsia" w:ascii="宋体" w:hAnsi="宋体" w:cs="宋体"/>
          <w:bCs/>
          <w:color w:val="auto"/>
          <w:sz w:val="24"/>
          <w:u w:val="single"/>
          <w:lang w:eastAsia="zh-CN"/>
        </w:rPr>
        <w:t>富平县公安局交通管理大队通信装备采购项目（</w:t>
      </w:r>
      <w:r>
        <w:rPr>
          <w:rFonts w:hint="eastAsia" w:ascii="宋体" w:hAnsi="宋体" w:cs="宋体"/>
          <w:bCs/>
          <w:color w:val="auto"/>
          <w:sz w:val="24"/>
          <w:u w:val="single"/>
          <w:lang w:val="en-US" w:eastAsia="zh-CN"/>
        </w:rPr>
        <w:t>二次</w:t>
      </w:r>
      <w:r>
        <w:rPr>
          <w:rFonts w:hint="eastAsia" w:ascii="宋体" w:hAnsi="宋体" w:cs="宋体"/>
          <w:bCs/>
          <w:color w:val="auto"/>
          <w:sz w:val="24"/>
          <w:u w:val="single"/>
          <w:lang w:eastAsia="zh-CN"/>
        </w:rPr>
        <w:t>）</w:t>
      </w:r>
      <w:r>
        <w:rPr>
          <w:rFonts w:hint="eastAsia" w:ascii="宋体" w:hAnsi="宋体" w:cs="宋体"/>
          <w:bCs/>
          <w:color w:val="auto"/>
          <w:sz w:val="24"/>
          <w:u w:val="single"/>
        </w:rPr>
        <w:t>)(项目编号：</w:t>
      </w:r>
      <w:r>
        <w:rPr>
          <w:rFonts w:hint="eastAsia" w:ascii="宋体" w:hAnsi="宋体" w:cs="宋体"/>
          <w:bCs/>
          <w:color w:val="auto"/>
          <w:sz w:val="24"/>
          <w:u w:val="single"/>
          <w:lang w:eastAsia="zh-CN"/>
        </w:rPr>
        <w:t>MZ2025-ZB1</w:t>
      </w:r>
      <w:r>
        <w:rPr>
          <w:rFonts w:hint="eastAsia" w:ascii="宋体" w:hAnsi="宋体" w:cs="宋体"/>
          <w:bCs/>
          <w:color w:val="auto"/>
          <w:sz w:val="24"/>
          <w:u w:val="single"/>
          <w:lang w:val="en-US" w:eastAsia="zh-CN"/>
        </w:rPr>
        <w:t>114</w:t>
      </w:r>
      <w:r>
        <w:rPr>
          <w:rFonts w:hint="eastAsia" w:ascii="宋体" w:hAnsi="宋体" w:cs="宋体"/>
          <w:bCs/>
          <w:color w:val="auto"/>
          <w:sz w:val="24"/>
          <w:u w:val="single"/>
        </w:rPr>
        <w:t>)</w:t>
      </w:r>
      <w:r>
        <w:rPr>
          <w:rFonts w:hint="eastAsia" w:ascii="宋体" w:hAnsi="宋体" w:cs="宋体"/>
          <w:bCs/>
          <w:color w:val="auto"/>
          <w:sz w:val="24"/>
        </w:rPr>
        <w:t>由陕西明正招标有限公司组织</w:t>
      </w:r>
      <w:r>
        <w:rPr>
          <w:rFonts w:hint="eastAsia" w:ascii="宋体" w:hAnsi="宋体" w:cs="宋体"/>
          <w:bCs/>
          <w:color w:val="auto"/>
          <w:sz w:val="24"/>
          <w:lang w:val="en-US" w:eastAsia="zh-CN"/>
        </w:rPr>
        <w:t>公开招标</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(以下简称“甲方”)确定</w:t>
      </w:r>
      <w:r>
        <w:rPr>
          <w:rFonts w:hint="eastAsia" w:ascii="宋体" w:hAnsi="宋体" w:cs="宋体"/>
          <w:bCs/>
          <w:color w:val="auto"/>
          <w:sz w:val="24"/>
          <w:u w:val="single"/>
        </w:rPr>
        <w:t xml:space="preserve">        </w:t>
      </w:r>
      <w:r>
        <w:rPr>
          <w:rFonts w:hint="eastAsia" w:ascii="宋体" w:hAnsi="宋体" w:cs="宋体"/>
          <w:bCs/>
          <w:color w:val="auto"/>
          <w:sz w:val="24"/>
        </w:rPr>
        <w:t>（以下简称“乙方”）为的</w:t>
      </w:r>
      <w:r>
        <w:rPr>
          <w:rFonts w:hint="eastAsia" w:ascii="宋体" w:hAnsi="宋体" w:cs="宋体"/>
          <w:bCs/>
          <w:color w:val="auto"/>
          <w:sz w:val="24"/>
          <w:lang w:eastAsia="zh-CN"/>
        </w:rPr>
        <w:t>中标人</w:t>
      </w:r>
      <w:r>
        <w:rPr>
          <w:rFonts w:hint="eastAsia" w:ascii="宋体" w:hAnsi="宋体" w:cs="宋体"/>
          <w:bCs/>
          <w:color w:val="auto"/>
          <w:sz w:val="24"/>
        </w:rPr>
        <w:t>。</w:t>
      </w:r>
      <w:bookmarkStart w:id="0" w:name="_GoBack"/>
      <w:bookmarkEnd w:id="0"/>
    </w:p>
    <w:p w14:paraId="7ECA4FF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sz w:val="24"/>
        </w:rPr>
        <w:t>依据《中华人民共和国民法典》和《中华人民共和国政府采购法》，经双方协商按下述条款和条件签署本合同。</w:t>
      </w:r>
    </w:p>
    <w:p w14:paraId="1D81B8CD">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一、合同价款</w:t>
      </w:r>
    </w:p>
    <w:p w14:paraId="7B22F0C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（一）合同总价款为人民币（大写）</w:t>
      </w:r>
      <w:r>
        <w:rPr>
          <w:rFonts w:hint="eastAsia" w:ascii="宋体" w:hAnsi="宋体" w:cs="宋体"/>
          <w:bCs/>
          <w:color w:val="auto"/>
          <w:sz w:val="24"/>
          <w:u w:val="single"/>
        </w:rPr>
        <w:t xml:space="preserve">        </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 xml:space="preserve"> ）。</w:t>
      </w:r>
    </w:p>
    <w:p w14:paraId="3271356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（二）合同总价包括：</w:t>
      </w:r>
      <w:r>
        <w:rPr>
          <w:rFonts w:hint="eastAsia" w:ascii="宋体" w:hAnsi="宋体" w:cs="宋体"/>
          <w:color w:val="auto"/>
          <w:sz w:val="24"/>
        </w:rPr>
        <w:t>包括但不限于产品费、</w:t>
      </w:r>
      <w:r>
        <w:rPr>
          <w:rFonts w:hint="eastAsia" w:ascii="宋体" w:hAnsi="宋体" w:cs="宋体"/>
          <w:color w:val="auto"/>
          <w:sz w:val="24"/>
          <w:lang w:val="en-US" w:eastAsia="zh-CN"/>
        </w:rPr>
        <w:t>材料</w:t>
      </w:r>
      <w:r>
        <w:rPr>
          <w:rFonts w:hint="eastAsia" w:ascii="宋体" w:hAnsi="宋体" w:cs="宋体"/>
          <w:color w:val="auto"/>
          <w:sz w:val="24"/>
        </w:rPr>
        <w:t>费、运杂费（含保险）、仓储保管费、技术培训费、劳务、风险、利润、规费、税金、验收、招标代理服务费、政策性文件规定的各项应有费用等其他一切相关费用投标人所报的价格应考虑到可能发生的所有与完成本项目相关服务及履行合同义务有关的一切费用。</w:t>
      </w:r>
    </w:p>
    <w:p w14:paraId="22BBD05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（三）合同总价一次性包死，不受市场价格变化因素的影响。</w:t>
      </w:r>
    </w:p>
    <w:p w14:paraId="4DCB7D0E">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二、产品清单</w:t>
      </w:r>
      <w:r>
        <w:rPr>
          <w:rFonts w:hint="eastAsia" w:ascii="宋体" w:hAnsi="宋体" w:cs="宋体"/>
          <w:bCs/>
          <w:color w:val="auto"/>
          <w:sz w:val="24"/>
        </w:rPr>
        <w:t>（附后）</w:t>
      </w:r>
    </w:p>
    <w:p w14:paraId="7551C8EA">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三、交货地点及交货期：</w:t>
      </w:r>
    </w:p>
    <w:p w14:paraId="1979CE4E">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（一）交货地点：</w:t>
      </w:r>
      <w:r>
        <w:rPr>
          <w:rFonts w:hint="eastAsia" w:ascii="宋体" w:hAnsi="宋体" w:cs="宋体"/>
          <w:bCs/>
          <w:color w:val="auto"/>
          <w:sz w:val="24"/>
          <w:u w:val="single"/>
        </w:rPr>
        <w:t xml:space="preserve">   采购人指定地点</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cs="宋体"/>
          <w:bCs/>
          <w:color w:val="auto"/>
          <w:sz w:val="24"/>
        </w:rPr>
        <w:t>。</w:t>
      </w:r>
    </w:p>
    <w:p w14:paraId="1E0FA032">
      <w:pPr>
        <w:spacing w:line="348" w:lineRule="auto"/>
        <w:ind w:firstLine="480" w:firstLineChars="200"/>
        <w:rPr>
          <w:rFonts w:hint="eastAsia" w:ascii="宋体" w:hAnsi="宋体" w:cs="宋体"/>
          <w:color w:val="auto"/>
          <w:sz w:val="24"/>
        </w:rPr>
      </w:pPr>
      <w:r>
        <w:rPr>
          <w:rFonts w:hint="eastAsia" w:ascii="宋体" w:hAnsi="宋体" w:cs="宋体"/>
          <w:bCs/>
          <w:color w:val="auto"/>
          <w:sz w:val="24"/>
        </w:rPr>
        <w:t>（二）交货期：</w:t>
      </w:r>
      <w:r>
        <w:rPr>
          <w:rFonts w:hint="eastAsia" w:ascii="宋体" w:hAnsi="宋体" w:cs="宋体"/>
          <w:bCs/>
          <w:color w:val="auto"/>
          <w:sz w:val="24"/>
          <w:u w:val="single"/>
        </w:rPr>
        <w:t xml:space="preserve">  自合同签订之日起</w:t>
      </w:r>
      <w:r>
        <w:rPr>
          <w:rFonts w:hint="eastAsia" w:ascii="宋体" w:hAnsi="宋体" w:cs="宋体"/>
          <w:bCs/>
          <w:color w:val="auto"/>
          <w:sz w:val="24"/>
          <w:u w:val="single"/>
          <w:lang w:eastAsia="zh-CN"/>
        </w:rPr>
        <w:t xml:space="preserve"> 30 </w:t>
      </w:r>
      <w:r>
        <w:rPr>
          <w:rFonts w:hint="eastAsia" w:ascii="宋体" w:hAnsi="宋体" w:cs="宋体"/>
          <w:bCs/>
          <w:color w:val="auto"/>
          <w:sz w:val="24"/>
          <w:u w:val="single"/>
        </w:rPr>
        <w:t>日历</w:t>
      </w:r>
      <w:r>
        <w:rPr>
          <w:rFonts w:hint="eastAsia" w:ascii="宋体" w:hAnsi="宋体" w:cs="宋体"/>
          <w:bCs/>
          <w:color w:val="auto"/>
          <w:sz w:val="24"/>
          <w:u w:val="single"/>
          <w:lang w:eastAsia="zh-CN"/>
        </w:rPr>
        <w:t>日</w:t>
      </w:r>
      <w:r>
        <w:rPr>
          <w:rFonts w:hint="eastAsia" w:ascii="宋体" w:hAnsi="宋体" w:cs="宋体"/>
          <w:bCs/>
          <w:color w:val="auto"/>
          <w:sz w:val="24"/>
          <w:u w:val="single"/>
        </w:rPr>
        <w:t>内完</w:t>
      </w:r>
      <w:r>
        <w:rPr>
          <w:rFonts w:hint="eastAsia" w:ascii="宋体" w:hAnsi="宋体" w:cs="宋体"/>
          <w:bCs/>
          <w:color w:val="auto"/>
          <w:sz w:val="24"/>
          <w:u w:val="single"/>
          <w:lang w:eastAsia="zh-CN"/>
        </w:rPr>
        <w:t>成</w:t>
      </w:r>
      <w:r>
        <w:rPr>
          <w:rFonts w:hint="eastAsia" w:ascii="宋体" w:hAnsi="宋体" w:cs="宋体"/>
          <w:bCs/>
          <w:color w:val="auto"/>
          <w:sz w:val="24"/>
          <w:u w:val="single"/>
        </w:rPr>
        <w:t>供货</w:t>
      </w:r>
      <w:r>
        <w:rPr>
          <w:rFonts w:hint="eastAsia" w:ascii="宋体" w:hAnsi="宋体" w:cs="宋体"/>
          <w:bCs/>
          <w:color w:val="auto"/>
          <w:sz w:val="24"/>
          <w:u w:val="single"/>
          <w:lang w:eastAsia="zh-CN"/>
        </w:rPr>
        <w:t>、安装、调试。</w:t>
      </w:r>
      <w:r>
        <w:rPr>
          <w:rFonts w:hint="eastAsia" w:ascii="宋体" w:hAnsi="宋体" w:cs="宋体"/>
          <w:bCs/>
          <w:color w:val="auto"/>
          <w:sz w:val="24"/>
          <w:u w:val="single"/>
        </w:rPr>
        <w:t xml:space="preserve"> </w:t>
      </w:r>
    </w:p>
    <w:p w14:paraId="4C85137E">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四、款项结算</w:t>
      </w:r>
    </w:p>
    <w:p w14:paraId="4806AB5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一</w:t>
      </w:r>
      <w:r>
        <w:rPr>
          <w:rFonts w:hint="eastAsia" w:ascii="宋体" w:hAnsi="宋体" w:eastAsia="宋体" w:cs="宋体"/>
          <w:bCs/>
          <w:color w:val="auto"/>
          <w:sz w:val="24"/>
          <w:lang w:eastAsia="zh-CN"/>
        </w:rPr>
        <w:t>）</w:t>
      </w:r>
      <w:r>
        <w:rPr>
          <w:rFonts w:hint="eastAsia" w:ascii="宋体" w:hAnsi="宋体" w:eastAsia="宋体" w:cs="宋体"/>
          <w:bCs/>
          <w:color w:val="auto"/>
          <w:sz w:val="24"/>
        </w:rPr>
        <w:t>支付方式：银行转账；</w:t>
      </w:r>
    </w:p>
    <w:p w14:paraId="1794073E">
      <w:pPr>
        <w:autoSpaceDE w:val="0"/>
        <w:autoSpaceDN w:val="0"/>
        <w:adjustRightInd w:val="0"/>
        <w:spacing w:line="348" w:lineRule="auto"/>
        <w:ind w:firstLine="480" w:firstLineChars="200"/>
        <w:rPr>
          <w:rFonts w:hint="eastAsia" w:ascii="宋体" w:hAnsi="宋体" w:eastAsia="宋体" w:cs="宋体"/>
          <w:bCs/>
          <w:color w:val="auto"/>
          <w:sz w:val="24"/>
          <w:highlight w:val="none"/>
          <w:lang w:eastAsia="zh-CN"/>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二</w:t>
      </w:r>
      <w:r>
        <w:rPr>
          <w:rFonts w:hint="eastAsia" w:ascii="宋体" w:hAnsi="宋体" w:eastAsia="宋体" w:cs="宋体"/>
          <w:bCs/>
          <w:color w:val="auto"/>
          <w:sz w:val="24"/>
          <w:lang w:eastAsia="zh-CN"/>
        </w:rPr>
        <w:t>）</w:t>
      </w:r>
      <w:r>
        <w:rPr>
          <w:rFonts w:hint="eastAsia" w:ascii="宋体" w:hAnsi="宋体" w:eastAsia="宋体" w:cs="宋体"/>
          <w:bCs/>
          <w:color w:val="auto"/>
          <w:sz w:val="24"/>
        </w:rPr>
        <w:t>结算方式：</w:t>
      </w:r>
      <w:r>
        <w:rPr>
          <w:rFonts w:hint="eastAsia" w:ascii="宋体" w:hAnsi="宋体" w:eastAsia="宋体" w:cs="宋体"/>
          <w:bCs/>
          <w:color w:val="auto"/>
          <w:sz w:val="24"/>
          <w:highlight w:val="none"/>
        </w:rPr>
        <w:t>采购人结算，在付款前，开具相应金额发票给采购人</w:t>
      </w:r>
      <w:r>
        <w:rPr>
          <w:rFonts w:hint="eastAsia" w:ascii="宋体" w:hAnsi="宋体" w:eastAsia="宋体" w:cs="宋体"/>
          <w:bCs/>
          <w:color w:val="auto"/>
          <w:sz w:val="24"/>
          <w:highlight w:val="none"/>
          <w:lang w:eastAsia="zh-CN"/>
        </w:rPr>
        <w:t>；</w:t>
      </w:r>
    </w:p>
    <w:p w14:paraId="0B10DFBA">
      <w:pPr>
        <w:autoSpaceDE w:val="0"/>
        <w:autoSpaceDN w:val="0"/>
        <w:adjustRightInd w:val="0"/>
        <w:spacing w:line="348" w:lineRule="auto"/>
        <w:ind w:firstLine="480" w:firstLineChars="200"/>
        <w:rPr>
          <w:rFonts w:hint="eastAsia" w:ascii="宋体" w:hAnsi="宋体" w:cs="宋体"/>
          <w:bCs/>
          <w:color w:val="auto"/>
          <w:sz w:val="24"/>
          <w:highlight w:val="none"/>
          <w:lang w:val="en-US" w:eastAsia="zh-CN"/>
        </w:rPr>
      </w:pP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lang w:val="en-US" w:eastAsia="zh-CN"/>
        </w:rPr>
        <w:t>三</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付款进度：</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1）付款条件说明：合同签订后，经采购人初验合格后，达到付款条件起 15 日内，支付合同总金额的50.00%。</w:t>
      </w:r>
    </w:p>
    <w:p w14:paraId="029ACA6C">
      <w:pPr>
        <w:autoSpaceDE w:val="0"/>
        <w:autoSpaceDN w:val="0"/>
        <w:adjustRightInd w:val="0"/>
        <w:spacing w:line="348"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lang w:val="en-US" w:eastAsia="zh-CN"/>
        </w:rPr>
        <w:t>（2）付款条件说明：终验合格后，达到付款条件起 15 日内，支付合同总金额的50.00%。</w:t>
      </w:r>
    </w:p>
    <w:p w14:paraId="4FF0437A">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五、双方的权利和义务</w:t>
      </w:r>
    </w:p>
    <w:p w14:paraId="4B79B79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（一）甲方的权利与义务</w:t>
      </w:r>
    </w:p>
    <w:p w14:paraId="6D114DC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1.甲方提供安装条件其中包括水，电，气到位。</w:t>
      </w:r>
    </w:p>
    <w:p w14:paraId="5005EC87">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2.甲方在收到货物通知后，应按</w:t>
      </w:r>
      <w:r>
        <w:rPr>
          <w:rFonts w:hint="eastAsia" w:ascii="宋体" w:hAnsi="宋体" w:eastAsia="宋体" w:cs="宋体"/>
          <w:bCs/>
          <w:color w:val="auto"/>
          <w:sz w:val="24"/>
          <w:lang w:val="en-US" w:eastAsia="zh-CN"/>
        </w:rPr>
        <w:t>招标</w:t>
      </w:r>
      <w:r>
        <w:rPr>
          <w:rFonts w:hint="eastAsia" w:ascii="宋体" w:hAnsi="宋体" w:eastAsia="宋体" w:cs="宋体"/>
          <w:bCs/>
          <w:color w:val="auto"/>
          <w:sz w:val="24"/>
        </w:rPr>
        <w:t>文件的需求进行核实，如发现不符合合同规定或短缺，及时提出，甲方在收到货后，组织人员按提供的技术参数指标进行验收。甲方必须按交货时间交付乙方安装现场，并现场配合。如不能按期供货、按时施工，甲方有权单方终止采购合同并追究</w:t>
      </w:r>
      <w:r>
        <w:rPr>
          <w:rFonts w:hint="eastAsia" w:ascii="宋体" w:hAnsi="宋体" w:eastAsia="宋体" w:cs="宋体"/>
          <w:bCs/>
          <w:color w:val="auto"/>
          <w:sz w:val="24"/>
          <w:lang w:val="en-US" w:eastAsia="zh-CN"/>
        </w:rPr>
        <w:t>中标人</w:t>
      </w:r>
      <w:r>
        <w:rPr>
          <w:rFonts w:hint="eastAsia" w:ascii="宋体" w:hAnsi="宋体" w:eastAsia="宋体" w:cs="宋体"/>
          <w:bCs/>
          <w:color w:val="auto"/>
          <w:sz w:val="24"/>
        </w:rPr>
        <w:t>的相关责任。</w:t>
      </w:r>
    </w:p>
    <w:p w14:paraId="75E8189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（二）乙方的权利与义务</w:t>
      </w:r>
    </w:p>
    <w:p w14:paraId="289692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1.乙方负责产品安装与调试在合同约定的时间完工。</w:t>
      </w:r>
    </w:p>
    <w:p w14:paraId="59D6A76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2.乙方所提供的产品必须是采购需求产品，运输及安装施工全过程中的安全由乙方负责。</w:t>
      </w:r>
    </w:p>
    <w:p w14:paraId="55E640FA">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3.在作业现场安装及调试过程中，乙方应积极配合甲方与水、电、气安装人员进行配合，最终完成产品的安装调试（联调）工作。</w:t>
      </w:r>
    </w:p>
    <w:p w14:paraId="43A3FD6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六、包装方式及运输</w:t>
      </w:r>
    </w:p>
    <w:p w14:paraId="74DF6DC4">
      <w:pPr>
        <w:autoSpaceDE w:val="0"/>
        <w:autoSpaceDN w:val="0"/>
        <w:adjustRightInd w:val="0"/>
        <w:spacing w:line="348" w:lineRule="auto"/>
        <w:ind w:firstLine="480" w:firstLineChars="200"/>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63AEB4A6">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七、</w:t>
      </w:r>
      <w:r>
        <w:rPr>
          <w:b/>
          <w:sz w:val="24"/>
        </w:rPr>
        <w:t>质量保修范围和保修期</w:t>
      </w:r>
    </w:p>
    <w:p w14:paraId="14012553">
      <w:pPr>
        <w:numPr>
          <w:ilvl w:val="0"/>
          <w:numId w:val="0"/>
        </w:numPr>
        <w:autoSpaceDE w:val="0"/>
        <w:autoSpaceDN w:val="0"/>
        <w:adjustRightInd w:val="0"/>
        <w:spacing w:line="348" w:lineRule="auto"/>
        <w:ind w:firstLine="480" w:firstLineChars="200"/>
        <w:rPr>
          <w:rFonts w:hint="eastAsia" w:ascii="宋体" w:hAnsi="宋体" w:eastAsia="宋体" w:cs="宋体"/>
          <w:b w:val="0"/>
          <w:bCs w:val="0"/>
          <w:color w:val="auto"/>
          <w:sz w:val="24"/>
          <w:lang w:eastAsia="zh-CN"/>
        </w:rPr>
      </w:pPr>
      <w:r>
        <w:rPr>
          <w:rFonts w:hint="eastAsia" w:ascii="宋体" w:hAnsi="宋体" w:eastAsia="宋体" w:cs="宋体"/>
          <w:b w:val="0"/>
          <w:bCs w:val="0"/>
          <w:color w:val="auto"/>
          <w:sz w:val="24"/>
        </w:rPr>
        <w:t>自验收合格之日起</w:t>
      </w:r>
      <w:r>
        <w:rPr>
          <w:rFonts w:hint="eastAsia" w:ascii="宋体" w:hAnsi="宋体" w:eastAsia="宋体" w:cs="宋体"/>
          <w:b w:val="0"/>
          <w:bCs w:val="0"/>
          <w:color w:val="auto"/>
          <w:sz w:val="24"/>
          <w:lang w:eastAsia="zh-CN"/>
        </w:rPr>
        <w:t xml:space="preserve"> 2 </w:t>
      </w:r>
      <w:r>
        <w:rPr>
          <w:rFonts w:hint="eastAsia" w:ascii="宋体" w:hAnsi="宋体" w:eastAsia="宋体" w:cs="宋体"/>
          <w:b w:val="0"/>
          <w:bCs w:val="0"/>
          <w:color w:val="auto"/>
          <w:sz w:val="24"/>
        </w:rPr>
        <w:t>年</w:t>
      </w:r>
      <w:r>
        <w:rPr>
          <w:rFonts w:hint="eastAsia" w:ascii="宋体" w:hAnsi="宋体" w:eastAsia="宋体" w:cs="宋体"/>
          <w:b w:val="0"/>
          <w:bCs w:val="0"/>
          <w:color w:val="auto"/>
          <w:sz w:val="24"/>
          <w:lang w:eastAsia="zh-CN"/>
        </w:rPr>
        <w:t>，技术参数中有明确要求的，按参数要求执行。</w:t>
      </w:r>
    </w:p>
    <w:p w14:paraId="3FAB9EF2">
      <w:pPr>
        <w:numPr>
          <w:ilvl w:val="0"/>
          <w:numId w:val="1"/>
        </w:numPr>
        <w:autoSpaceDE w:val="0"/>
        <w:autoSpaceDN w:val="0"/>
        <w:adjustRightInd w:val="0"/>
        <w:spacing w:line="348" w:lineRule="auto"/>
        <w:ind w:left="600" w:leftChars="0" w:firstLine="0" w:firstLineChars="0"/>
        <w:rPr>
          <w:rFonts w:hint="eastAsia" w:ascii="宋体" w:hAnsi="宋体" w:eastAsia="宋体" w:cs="宋体"/>
          <w:b w:val="0"/>
          <w:bCs w:val="0"/>
          <w:color w:val="auto"/>
          <w:sz w:val="24"/>
        </w:rPr>
      </w:pPr>
      <w:r>
        <w:rPr>
          <w:rFonts w:hint="eastAsia" w:ascii="宋体" w:hAnsi="宋体" w:eastAsia="宋体" w:cs="宋体"/>
          <w:b w:val="0"/>
          <w:bCs w:val="0"/>
          <w:color w:val="auto"/>
          <w:sz w:val="24"/>
        </w:rPr>
        <w:t>中标人承诺的质保时间超过招标文件要求的，按其承诺时间质保。</w:t>
      </w:r>
    </w:p>
    <w:p w14:paraId="3F1C1B2A">
      <w:pPr>
        <w:numPr>
          <w:ilvl w:val="0"/>
          <w:numId w:val="1"/>
        </w:numPr>
        <w:autoSpaceDE w:val="0"/>
        <w:autoSpaceDN w:val="0"/>
        <w:adjustRightInd w:val="0"/>
        <w:spacing w:line="348" w:lineRule="auto"/>
        <w:ind w:left="600" w:leftChars="0" w:firstLine="0" w:firstLineChars="0"/>
        <w:rPr>
          <w:rFonts w:hint="eastAsia" w:ascii="宋体" w:hAnsi="宋体" w:eastAsia="宋体" w:cs="宋体"/>
          <w:b w:val="0"/>
          <w:bCs w:val="0"/>
          <w:color w:val="auto"/>
          <w:sz w:val="24"/>
        </w:rPr>
      </w:pPr>
      <w:r>
        <w:rPr>
          <w:rFonts w:hint="eastAsia" w:ascii="宋体" w:hAnsi="宋体" w:eastAsia="宋体" w:cs="宋体"/>
          <w:b w:val="0"/>
          <w:bCs w:val="0"/>
          <w:color w:val="auto"/>
          <w:sz w:val="24"/>
        </w:rPr>
        <w:t>中标人承诺的质保期起始时间为验收合格之日。</w:t>
      </w:r>
    </w:p>
    <w:p w14:paraId="06D684E8">
      <w:pPr>
        <w:numPr>
          <w:ilvl w:val="0"/>
          <w:numId w:val="1"/>
        </w:numPr>
        <w:autoSpaceDE w:val="0"/>
        <w:autoSpaceDN w:val="0"/>
        <w:adjustRightInd w:val="0"/>
        <w:spacing w:line="348" w:lineRule="auto"/>
        <w:ind w:left="600" w:leftChars="0" w:firstLine="0" w:firstLineChars="0"/>
        <w:rPr>
          <w:rFonts w:hint="eastAsia" w:ascii="宋体" w:hAnsi="宋体" w:eastAsia="宋体" w:cs="宋体"/>
          <w:b w:val="0"/>
          <w:bCs w:val="0"/>
          <w:color w:val="auto"/>
          <w:sz w:val="24"/>
        </w:rPr>
      </w:pPr>
      <w:r>
        <w:rPr>
          <w:rFonts w:hint="eastAsia" w:ascii="宋体" w:hAnsi="宋体" w:eastAsia="宋体" w:cs="宋体"/>
          <w:b w:val="0"/>
          <w:bCs w:val="0"/>
          <w:color w:val="auto"/>
          <w:sz w:val="24"/>
        </w:rPr>
        <w:t>所有产品质量必须符合现行的国家标准或国家行政部门颁布的法律法规、规章制度等。没有国家标准的，可以参考行业标准。所有设备及辅材必须是未使用过的新产品，质量优良、渠道正当，配置合理。</w:t>
      </w:r>
    </w:p>
    <w:p w14:paraId="69E515A3">
      <w:pPr>
        <w:numPr>
          <w:ilvl w:val="0"/>
          <w:numId w:val="1"/>
        </w:numPr>
        <w:autoSpaceDE w:val="0"/>
        <w:autoSpaceDN w:val="0"/>
        <w:adjustRightInd w:val="0"/>
        <w:spacing w:line="348" w:lineRule="auto"/>
        <w:ind w:left="600" w:leftChars="0" w:firstLine="0" w:firstLineChars="0"/>
        <w:rPr>
          <w:rFonts w:hint="eastAsia" w:ascii="宋体" w:hAnsi="宋体" w:eastAsia="宋体" w:cs="宋体"/>
          <w:b w:val="0"/>
          <w:bCs w:val="0"/>
          <w:color w:val="auto"/>
          <w:sz w:val="24"/>
        </w:rPr>
      </w:pPr>
      <w:r>
        <w:rPr>
          <w:rFonts w:hint="eastAsia" w:ascii="宋体" w:hAnsi="宋体" w:eastAsia="宋体" w:cs="宋体"/>
          <w:b w:val="0"/>
          <w:bCs w:val="0"/>
          <w:color w:val="auto"/>
          <w:sz w:val="24"/>
        </w:rPr>
        <w:t>质保期出现的质量问题由中标人负责解决并承担所有费用。质保期后如需更换零部件，中标人应以优惠价提供。</w:t>
      </w:r>
    </w:p>
    <w:p w14:paraId="316BCF16">
      <w:pPr>
        <w:numPr>
          <w:ilvl w:val="0"/>
          <w:numId w:val="1"/>
        </w:numPr>
        <w:autoSpaceDE w:val="0"/>
        <w:autoSpaceDN w:val="0"/>
        <w:adjustRightInd w:val="0"/>
        <w:spacing w:line="348" w:lineRule="auto"/>
        <w:ind w:left="600" w:leftChars="0" w:firstLine="0" w:firstLineChars="0"/>
        <w:rPr>
          <w:rFonts w:hint="eastAsia" w:ascii="宋体" w:hAnsi="宋体" w:eastAsia="宋体" w:cs="宋体"/>
          <w:b w:val="0"/>
          <w:bCs w:val="0"/>
          <w:color w:val="auto"/>
          <w:sz w:val="24"/>
        </w:rPr>
      </w:pPr>
      <w:r>
        <w:rPr>
          <w:rFonts w:hint="eastAsia" w:ascii="宋体" w:hAnsi="宋体" w:eastAsia="宋体" w:cs="宋体"/>
          <w:b w:val="0"/>
          <w:bCs w:val="0"/>
          <w:color w:val="auto"/>
          <w:sz w:val="24"/>
        </w:rPr>
        <w:t>质量要求：按照相关国家及行业标准。</w:t>
      </w:r>
    </w:p>
    <w:p w14:paraId="30B7223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eastAsia="宋体" w:cs="宋体"/>
          <w:b/>
          <w:bCs/>
          <w:color w:val="auto"/>
          <w:sz w:val="24"/>
        </w:rPr>
        <w:t>八、</w:t>
      </w:r>
      <w:r>
        <w:rPr>
          <w:rFonts w:hint="eastAsia" w:ascii="宋体" w:hAnsi="宋体" w:cs="宋体"/>
          <w:b/>
          <w:bCs/>
          <w:color w:val="auto"/>
          <w:sz w:val="24"/>
        </w:rPr>
        <w:t>技术与服务</w:t>
      </w:r>
    </w:p>
    <w:p w14:paraId="199D306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（一）技术资料：</w:t>
      </w:r>
    </w:p>
    <w:p w14:paraId="14CEDFAF">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1.产品合格证；</w:t>
      </w:r>
    </w:p>
    <w:p w14:paraId="73173A6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2.产品使用说明书（中文）； </w:t>
      </w:r>
    </w:p>
    <w:p w14:paraId="4A22E71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3.进口产品商检证明和报关单（若有）；</w:t>
      </w:r>
    </w:p>
    <w:p w14:paraId="581B083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4.调试记录，测试报告；</w:t>
      </w:r>
    </w:p>
    <w:p w14:paraId="3F9826E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5.其它资料等。</w:t>
      </w:r>
    </w:p>
    <w:p w14:paraId="728726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（二）服务承诺：以</w:t>
      </w:r>
      <w:r>
        <w:rPr>
          <w:rFonts w:hint="eastAsia" w:ascii="宋体" w:hAnsi="宋体" w:cs="宋体"/>
          <w:bCs/>
          <w:color w:val="auto"/>
          <w:sz w:val="24"/>
          <w:lang w:val="en-US" w:eastAsia="zh-CN"/>
        </w:rPr>
        <w:t>招标</w:t>
      </w:r>
      <w:r>
        <w:rPr>
          <w:rFonts w:hint="eastAsia" w:ascii="宋体" w:hAnsi="宋体" w:cs="宋体"/>
          <w:bCs/>
          <w:color w:val="auto"/>
          <w:sz w:val="24"/>
        </w:rPr>
        <w:t>文件、澄清表、合同和随产品的相关文件为准，但至少应包括：</w:t>
      </w:r>
    </w:p>
    <w:p w14:paraId="0D0FA38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1.乙方对其所售产品负责备品配件的供应,长期提供有偿维修、技术咨询等服务。</w:t>
      </w:r>
    </w:p>
    <w:p w14:paraId="4F09155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2.服务响应时限：7*24小时服务。</w:t>
      </w:r>
    </w:p>
    <w:p w14:paraId="3B5783D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3.派专人对所供产品提供售后服务，并每月定期对所供产品进行巡检，做好巡检记录。</w:t>
      </w:r>
    </w:p>
    <w:p w14:paraId="2D19CF1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4.在产品安装过程中，应注意用水、用电、用气的安全，安装人员出现伤亡事故由乙方自行承担。</w:t>
      </w:r>
    </w:p>
    <w:p w14:paraId="0F41B3E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（三）人员培训：当产品安装调试结束后，乙方应对学所使用人员进行培训，并制作培训教材以便使用。</w:t>
      </w:r>
    </w:p>
    <w:p w14:paraId="1DEBE889">
      <w:pPr>
        <w:autoSpaceDE w:val="0"/>
        <w:autoSpaceDN w:val="0"/>
        <w:adjustRightInd w:val="0"/>
        <w:spacing w:line="348"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lang w:val="en-US" w:eastAsia="zh-CN"/>
        </w:rPr>
        <w:t>九</w:t>
      </w:r>
      <w:r>
        <w:rPr>
          <w:rFonts w:hint="eastAsia" w:ascii="宋体" w:hAnsi="宋体" w:eastAsia="宋体" w:cs="宋体"/>
          <w:b/>
          <w:bCs/>
          <w:color w:val="auto"/>
          <w:sz w:val="24"/>
        </w:rPr>
        <w:t>、验收标准和方法</w:t>
      </w:r>
    </w:p>
    <w:p w14:paraId="1C7A4833">
      <w:pPr>
        <w:autoSpaceDE w:val="0"/>
        <w:autoSpaceDN w:val="0"/>
        <w:adjustRightInd w:val="0"/>
        <w:spacing w:line="348" w:lineRule="auto"/>
        <w:ind w:firstLine="480" w:firstLineChars="200"/>
        <w:rPr>
          <w:rFonts w:hint="eastAsia" w:ascii="宋体" w:hAnsi="宋体" w:eastAsia="宋体" w:cs="宋体"/>
          <w:bCs/>
          <w:color w:val="auto"/>
          <w:sz w:val="24"/>
          <w:lang w:eastAsia="zh-CN"/>
        </w:rPr>
      </w:pPr>
      <w:r>
        <w:rPr>
          <w:rFonts w:hint="eastAsia" w:ascii="宋体" w:hAnsi="宋体" w:eastAsia="宋体" w:cs="宋体"/>
          <w:bCs/>
          <w:color w:val="auto"/>
          <w:sz w:val="24"/>
        </w:rPr>
        <w:t>（1）由采购人按照关于印发《政府采购需求管理办法》的通知（财库〔2021〕22号）和《财政部关于进一步加强政府采购需求和履约验收管理的指导意见》(财库〔2016〕205号)的要求以及国家标准、行业标准</w:t>
      </w:r>
      <w:r>
        <w:rPr>
          <w:rFonts w:hint="eastAsia" w:ascii="宋体" w:hAnsi="宋体" w:eastAsia="宋体" w:cs="宋体"/>
          <w:bCs/>
          <w:color w:val="auto"/>
          <w:sz w:val="24"/>
          <w:lang w:eastAsia="zh-CN"/>
        </w:rPr>
        <w:t>、</w:t>
      </w:r>
      <w:r>
        <w:rPr>
          <w:rFonts w:hint="eastAsia" w:ascii="宋体" w:hAnsi="宋体" w:eastAsia="宋体" w:cs="宋体"/>
          <w:bCs/>
          <w:color w:val="auto"/>
          <w:sz w:val="24"/>
        </w:rPr>
        <w:t>合同文本</w:t>
      </w:r>
      <w:r>
        <w:rPr>
          <w:rFonts w:hint="eastAsia" w:ascii="宋体" w:hAnsi="宋体" w:eastAsia="宋体" w:cs="宋体"/>
          <w:bCs/>
          <w:color w:val="auto"/>
          <w:sz w:val="24"/>
          <w:lang w:eastAsia="zh-CN"/>
        </w:rPr>
        <w:t>、</w:t>
      </w:r>
      <w:r>
        <w:rPr>
          <w:rFonts w:hint="eastAsia" w:ascii="宋体" w:hAnsi="宋体" w:eastAsia="宋体" w:cs="宋体"/>
          <w:bCs/>
          <w:color w:val="auto"/>
          <w:sz w:val="24"/>
        </w:rPr>
        <w:t>采购文件、中标人的投标文件进行验收，以满足采购人的实际需求为准</w:t>
      </w:r>
      <w:r>
        <w:rPr>
          <w:rFonts w:hint="eastAsia" w:ascii="宋体" w:hAnsi="宋体" w:eastAsia="宋体" w:cs="宋体"/>
          <w:bCs/>
          <w:color w:val="auto"/>
          <w:sz w:val="24"/>
          <w:lang w:eastAsia="zh-CN"/>
        </w:rPr>
        <w:t>。</w:t>
      </w:r>
    </w:p>
    <w:p w14:paraId="39EFD35F">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eastAsia="zh-CN"/>
        </w:rPr>
        <w:t>（2）</w:t>
      </w:r>
      <w:r>
        <w:rPr>
          <w:rFonts w:hint="eastAsia" w:ascii="宋体" w:hAnsi="宋体" w:eastAsia="宋体" w:cs="宋体"/>
          <w:bCs/>
          <w:color w:val="auto"/>
          <w:sz w:val="24"/>
        </w:rPr>
        <w:t>验收方法：1、初验：货物到达交货地点后，由</w:t>
      </w:r>
      <w:r>
        <w:rPr>
          <w:rFonts w:hint="eastAsia" w:ascii="宋体" w:hAnsi="宋体" w:eastAsia="宋体" w:cs="宋体"/>
          <w:bCs/>
          <w:color w:val="auto"/>
          <w:sz w:val="24"/>
          <w:lang w:eastAsia="zh-CN"/>
        </w:rPr>
        <w:t>采购人</w:t>
      </w:r>
      <w:r>
        <w:rPr>
          <w:rFonts w:hint="eastAsia" w:ascii="宋体" w:hAnsi="宋体" w:eastAsia="宋体" w:cs="宋体"/>
          <w:bCs/>
          <w:color w:val="auto"/>
          <w:sz w:val="24"/>
        </w:rPr>
        <w:t>根据合同对货物(设备)的名称、品牌、规格、型号、产地、数量进行检查。2、终验：所有货物(设备)</w:t>
      </w:r>
      <w:r>
        <w:rPr>
          <w:rFonts w:hint="eastAsia" w:ascii="宋体" w:hAnsi="宋体" w:eastAsia="宋体" w:cs="宋体"/>
          <w:bCs/>
          <w:color w:val="auto"/>
          <w:sz w:val="24"/>
          <w:lang w:eastAsia="zh-CN"/>
        </w:rPr>
        <w:t>安装调试完成，试运行通过后</w:t>
      </w:r>
      <w:r>
        <w:rPr>
          <w:rFonts w:hint="eastAsia" w:ascii="宋体" w:hAnsi="宋体" w:eastAsia="宋体" w:cs="宋体"/>
          <w:bCs/>
          <w:color w:val="auto"/>
          <w:sz w:val="24"/>
        </w:rPr>
        <w:t>，由采购人进行终验 (最终验收) ，合格后签发《终验合格单》。</w:t>
      </w:r>
    </w:p>
    <w:p w14:paraId="77AA1086">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w:t>
      </w:r>
      <w:r>
        <w:rPr>
          <w:rFonts w:hint="eastAsia" w:ascii="宋体" w:hAnsi="宋体" w:eastAsia="宋体" w:cs="宋体"/>
          <w:bCs/>
          <w:color w:val="auto"/>
          <w:sz w:val="24"/>
          <w:lang w:eastAsia="zh-CN"/>
        </w:rPr>
        <w:t>3</w:t>
      </w:r>
      <w:r>
        <w:rPr>
          <w:rFonts w:hint="eastAsia" w:ascii="宋体" w:hAnsi="宋体" w:eastAsia="宋体" w:cs="宋体"/>
          <w:bCs/>
          <w:color w:val="auto"/>
          <w:sz w:val="24"/>
        </w:rPr>
        <w:t>）中标人应向采购人提交项目实施过程中的所有资料，以便采购人日后管理和维护。</w:t>
      </w:r>
    </w:p>
    <w:p w14:paraId="48D3E2D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b/>
          <w:sz w:val="24"/>
        </w:rPr>
        <w:t>违约责任与解决争议的方法</w:t>
      </w:r>
    </w:p>
    <w:p w14:paraId="5657A128">
      <w:pPr>
        <w:autoSpaceDE w:val="0"/>
        <w:autoSpaceDN w:val="0"/>
        <w:adjustRightInd w:val="0"/>
        <w:spacing w:line="348" w:lineRule="auto"/>
        <w:ind w:firstLine="480" w:firstLineChars="200"/>
        <w:rPr>
          <w:rFonts w:hint="eastAsia" w:ascii="宋体" w:hAnsi="宋体" w:cs="宋体"/>
          <w:b w:val="0"/>
          <w:bCs w:val="0"/>
          <w:color w:val="auto"/>
          <w:sz w:val="24"/>
        </w:rPr>
      </w:pPr>
      <w:r>
        <w:rPr>
          <w:rFonts w:hint="eastAsia" w:ascii="宋体" w:hAnsi="宋体" w:cs="宋体"/>
          <w:b w:val="0"/>
          <w:bCs w:val="0"/>
          <w:color w:val="auto"/>
          <w:sz w:val="24"/>
        </w:rPr>
        <w:t>（1）乙方所交付的货物不符本合同要求的（产生争议的以招标文件为准），甲方有权拒收；同时，乙方应缴纳该货物款30%的违约金，并可终止合同。</w:t>
      </w:r>
    </w:p>
    <w:p w14:paraId="14CF2501">
      <w:pPr>
        <w:autoSpaceDE w:val="0"/>
        <w:autoSpaceDN w:val="0"/>
        <w:adjustRightInd w:val="0"/>
        <w:spacing w:line="348" w:lineRule="auto"/>
        <w:ind w:firstLine="480" w:firstLineChars="200"/>
        <w:rPr>
          <w:rFonts w:hint="eastAsia" w:ascii="宋体" w:hAnsi="宋体" w:cs="宋体"/>
          <w:b w:val="0"/>
          <w:bCs w:val="0"/>
          <w:color w:val="auto"/>
          <w:sz w:val="24"/>
        </w:rPr>
      </w:pPr>
      <w:r>
        <w:rPr>
          <w:rFonts w:hint="eastAsia" w:ascii="宋体" w:hAnsi="宋体" w:cs="宋体"/>
          <w:b w:val="0"/>
          <w:bCs w:val="0"/>
          <w:color w:val="auto"/>
          <w:sz w:val="24"/>
        </w:rPr>
        <w:t>（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w:t>
      </w:r>
    </w:p>
    <w:p w14:paraId="5C9BBB4A">
      <w:pPr>
        <w:autoSpaceDE w:val="0"/>
        <w:autoSpaceDN w:val="0"/>
        <w:adjustRightInd w:val="0"/>
        <w:spacing w:line="348" w:lineRule="auto"/>
        <w:ind w:firstLine="480" w:firstLineChars="200"/>
        <w:rPr>
          <w:rFonts w:hint="eastAsia" w:ascii="宋体" w:hAnsi="宋体" w:cs="宋体"/>
          <w:b w:val="0"/>
          <w:bCs w:val="0"/>
          <w:color w:val="auto"/>
          <w:sz w:val="24"/>
        </w:rPr>
      </w:pPr>
      <w:r>
        <w:rPr>
          <w:rFonts w:hint="eastAsia" w:ascii="宋体" w:hAnsi="宋体" w:cs="宋体"/>
          <w:b w:val="0"/>
          <w:bCs w:val="0"/>
          <w:color w:val="auto"/>
          <w:sz w:val="24"/>
        </w:rPr>
        <w:t>（3）乙方将货物设备运达指定地点后，甲方无正当理由不接收或不及时验收的，双方友好协商解决，协商不成，乙方有权向甲方所在地的人民法院提出诉讼。</w:t>
      </w:r>
    </w:p>
    <w:p w14:paraId="3870A1C8">
      <w:pPr>
        <w:autoSpaceDE w:val="0"/>
        <w:autoSpaceDN w:val="0"/>
        <w:adjustRightInd w:val="0"/>
        <w:spacing w:line="348" w:lineRule="auto"/>
        <w:ind w:firstLine="480" w:firstLineChars="200"/>
        <w:rPr>
          <w:rFonts w:hint="eastAsia" w:ascii="宋体" w:hAnsi="宋体" w:cs="宋体"/>
          <w:b w:val="0"/>
          <w:bCs w:val="0"/>
          <w:color w:val="auto"/>
          <w:sz w:val="24"/>
        </w:rPr>
      </w:pPr>
      <w:r>
        <w:rPr>
          <w:rFonts w:hint="eastAsia" w:ascii="宋体" w:hAnsi="宋体" w:cs="宋体"/>
          <w:b w:val="0"/>
          <w:bCs w:val="0"/>
          <w:color w:val="auto"/>
          <w:sz w:val="24"/>
        </w:rPr>
        <w:t>（4）乙方不按合同规定履行售后服务的，双方友好协商解决，协商不成，以书面形式向甲方所在地人是法院提出诉讼。</w:t>
      </w:r>
    </w:p>
    <w:p w14:paraId="0620EF2A">
      <w:pPr>
        <w:autoSpaceDE w:val="0"/>
        <w:autoSpaceDN w:val="0"/>
        <w:adjustRightInd w:val="0"/>
        <w:spacing w:line="348" w:lineRule="auto"/>
        <w:ind w:firstLine="480" w:firstLineChars="200"/>
        <w:rPr>
          <w:rFonts w:hint="eastAsia" w:ascii="宋体" w:hAnsi="宋体" w:cs="宋体"/>
          <w:b w:val="0"/>
          <w:bCs w:val="0"/>
          <w:color w:val="auto"/>
          <w:sz w:val="24"/>
        </w:rPr>
      </w:pPr>
      <w:r>
        <w:rPr>
          <w:rFonts w:hint="eastAsia" w:ascii="宋体" w:hAnsi="宋体" w:cs="宋体"/>
          <w:b w:val="0"/>
          <w:bCs w:val="0"/>
          <w:color w:val="auto"/>
          <w:sz w:val="24"/>
        </w:rPr>
        <w:t>（5）甲、乙双方在履行合同发生争议时，应通过友好协商的方式解决；若争议协商未果，则双方将争议提交甲方所在地仲裁机构裁决。仲裁机构由甲乙双方协议选择。</w:t>
      </w:r>
    </w:p>
    <w:p w14:paraId="32850DCC">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rFonts w:hint="eastAsia" w:ascii="宋体" w:hAnsi="宋体" w:cs="宋体"/>
          <w:b/>
          <w:bCs/>
          <w:color w:val="auto"/>
          <w:sz w:val="24"/>
          <w:lang w:val="en-US" w:eastAsia="zh-CN"/>
        </w:rPr>
        <w:t>一</w:t>
      </w:r>
      <w:r>
        <w:rPr>
          <w:rFonts w:hint="eastAsia" w:ascii="宋体" w:hAnsi="宋体" w:cs="宋体"/>
          <w:b/>
          <w:bCs/>
          <w:color w:val="auto"/>
          <w:sz w:val="24"/>
        </w:rPr>
        <w:t>、合同生效</w:t>
      </w:r>
    </w:p>
    <w:p w14:paraId="74C0F38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（一）本合同须经甲、乙双方的法定代表人（授权代理人）在合同书上签字并加盖本单位公章后正式生效。</w:t>
      </w:r>
    </w:p>
    <w:p w14:paraId="53F8395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（二）合同生效后，甲、乙双方须严格执行本合同条款的规定，全面履行合同，违者按《中华人民共和国民法典》的有关规定承担相应责任。</w:t>
      </w:r>
    </w:p>
    <w:p w14:paraId="68B3FBD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（三）本合同一式</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 xml:space="preserve"> </w:t>
      </w:r>
      <w:r>
        <w:rPr>
          <w:rFonts w:hint="eastAsia" w:ascii="宋体" w:hAnsi="宋体" w:cs="宋体"/>
          <w:bCs/>
          <w:color w:val="auto"/>
          <w:sz w:val="24"/>
        </w:rPr>
        <w:t>份，甲乙双方各执</w:t>
      </w:r>
      <w:r>
        <w:rPr>
          <w:rFonts w:hint="eastAsia" w:ascii="宋体" w:hAnsi="宋体" w:cs="宋体"/>
          <w:bCs/>
          <w:color w:val="auto"/>
          <w:sz w:val="24"/>
          <w:u w:val="single"/>
        </w:rPr>
        <w:t xml:space="preserve">    </w:t>
      </w:r>
      <w:r>
        <w:rPr>
          <w:rFonts w:hint="eastAsia" w:ascii="宋体" w:hAnsi="宋体" w:cs="宋体"/>
          <w:bCs/>
          <w:color w:val="auto"/>
          <w:sz w:val="24"/>
        </w:rPr>
        <w:t>份。</w:t>
      </w:r>
    </w:p>
    <w:p w14:paraId="6006C9C3">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（四）本合同如有未尽事宜，甲、乙双方协商解决。</w:t>
      </w:r>
    </w:p>
    <w:p w14:paraId="4BE1EA98">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（五）采购人与</w:t>
      </w:r>
      <w:r>
        <w:rPr>
          <w:rFonts w:hint="eastAsia" w:ascii="宋体" w:hAnsi="宋体" w:eastAsia="宋体" w:cs="宋体"/>
          <w:bCs/>
          <w:color w:val="auto"/>
          <w:sz w:val="24"/>
          <w:lang w:val="en-US" w:eastAsia="zh-CN"/>
        </w:rPr>
        <w:t>中标人</w:t>
      </w:r>
      <w:r>
        <w:rPr>
          <w:rFonts w:hint="eastAsia" w:ascii="宋体" w:hAnsi="宋体" w:cs="宋体"/>
          <w:bCs/>
          <w:color w:val="auto"/>
          <w:sz w:val="24"/>
        </w:rPr>
        <w:t>应当在</w:t>
      </w:r>
      <w:r>
        <w:rPr>
          <w:rFonts w:hint="eastAsia" w:ascii="宋体" w:hAnsi="宋体" w:cs="宋体"/>
          <w:bCs/>
          <w:color w:val="auto"/>
          <w:sz w:val="24"/>
          <w:lang w:val="en-US" w:eastAsia="zh-CN"/>
        </w:rPr>
        <w:t>中标</w:t>
      </w:r>
      <w:r>
        <w:rPr>
          <w:rFonts w:hint="eastAsia" w:ascii="宋体" w:hAnsi="宋体" w:cs="宋体"/>
          <w:bCs/>
          <w:color w:val="auto"/>
          <w:sz w:val="24"/>
        </w:rPr>
        <w:t>通知书发出之日起</w:t>
      </w:r>
      <w:r>
        <w:rPr>
          <w:rFonts w:hint="eastAsia" w:ascii="宋体" w:hAnsi="宋体" w:cs="宋体"/>
          <w:bCs/>
          <w:color w:val="auto"/>
          <w:sz w:val="24"/>
          <w:lang w:val="en-US" w:eastAsia="zh-CN"/>
        </w:rPr>
        <w:t>30</w:t>
      </w:r>
      <w:r>
        <w:rPr>
          <w:rFonts w:hint="eastAsia" w:ascii="宋体" w:hAnsi="宋体" w:cs="宋体"/>
          <w:bCs/>
          <w:color w:val="auto"/>
          <w:sz w:val="24"/>
        </w:rPr>
        <w:t>日内，按照</w:t>
      </w:r>
      <w:r>
        <w:rPr>
          <w:rFonts w:hint="eastAsia" w:ascii="宋体" w:hAnsi="宋体" w:cs="宋体"/>
          <w:bCs/>
          <w:color w:val="auto"/>
          <w:sz w:val="24"/>
          <w:lang w:val="en-US" w:eastAsia="zh-CN"/>
        </w:rPr>
        <w:t>招标</w:t>
      </w:r>
      <w:r>
        <w:rPr>
          <w:rFonts w:hint="eastAsia" w:ascii="宋体" w:hAnsi="宋体" w:cs="宋体"/>
          <w:bCs/>
          <w:color w:val="auto"/>
          <w:sz w:val="24"/>
        </w:rPr>
        <w:t>文件确定的采购标的、规格型号、采购金额、采购数量、技术和服务要求及商务要求等事项签订合同。</w:t>
      </w:r>
    </w:p>
    <w:p w14:paraId="4BBD68B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（六）所签订的合同不得对</w:t>
      </w:r>
      <w:r>
        <w:rPr>
          <w:rFonts w:hint="eastAsia" w:ascii="宋体" w:hAnsi="宋体" w:cs="宋体"/>
          <w:bCs/>
          <w:color w:val="auto"/>
          <w:sz w:val="24"/>
          <w:lang w:val="en-US" w:eastAsia="zh-CN"/>
        </w:rPr>
        <w:t>招标</w:t>
      </w:r>
      <w:r>
        <w:rPr>
          <w:rFonts w:hint="eastAsia" w:ascii="宋体" w:hAnsi="宋体" w:cs="宋体"/>
          <w:bCs/>
          <w:color w:val="auto"/>
          <w:sz w:val="24"/>
        </w:rPr>
        <w:t>文件确定的事项和</w:t>
      </w:r>
      <w:r>
        <w:rPr>
          <w:rFonts w:hint="eastAsia" w:ascii="宋体" w:hAnsi="宋体" w:cs="宋体"/>
          <w:color w:val="auto"/>
          <w:sz w:val="24"/>
          <w:lang w:val="en-US" w:eastAsia="zh-CN"/>
        </w:rPr>
        <w:t>投标人</w:t>
      </w:r>
      <w:r>
        <w:rPr>
          <w:rFonts w:hint="eastAsia" w:ascii="宋体" w:hAnsi="宋体" w:cs="宋体"/>
          <w:bCs/>
          <w:color w:val="auto"/>
          <w:sz w:val="24"/>
          <w:lang w:val="en-US" w:eastAsia="zh-CN"/>
        </w:rPr>
        <w:t>投标</w:t>
      </w:r>
      <w:r>
        <w:rPr>
          <w:rFonts w:hint="eastAsia" w:ascii="宋体" w:hAnsi="宋体" w:cs="宋体"/>
          <w:bCs/>
          <w:color w:val="auto"/>
          <w:sz w:val="24"/>
        </w:rPr>
        <w:t>文件做实质性修改。</w:t>
      </w:r>
    </w:p>
    <w:p w14:paraId="6A137601">
      <w:pPr>
        <w:autoSpaceDE w:val="0"/>
        <w:autoSpaceDN w:val="0"/>
        <w:adjustRightInd w:val="0"/>
        <w:spacing w:line="348" w:lineRule="auto"/>
        <w:ind w:firstLine="480" w:firstLineChars="200"/>
        <w:rPr>
          <w:rFonts w:ascii="宋体" w:hAnsi="宋体" w:cs="宋体"/>
          <w:bCs/>
          <w:color w:val="auto"/>
          <w:sz w:val="24"/>
        </w:rPr>
      </w:pPr>
      <w:r>
        <w:rPr>
          <w:rFonts w:hint="eastAsia" w:ascii="宋体" w:hAnsi="宋体" w:cs="宋体"/>
          <w:bCs/>
          <w:color w:val="auto"/>
          <w:sz w:val="24"/>
        </w:rPr>
        <w:t>（七）甲乙双方不得擅自变更、中止、终止采购合同。</w:t>
      </w:r>
    </w:p>
    <w:p w14:paraId="6E9A5E68">
      <w:pPr>
        <w:rPr>
          <w:rFonts w:hint="eastAsia" w:ascii="宋体" w:hAnsi="宋体" w:cs="宋体"/>
          <w:bCs/>
          <w:color w:val="auto"/>
          <w:sz w:val="24"/>
        </w:rPr>
      </w:pPr>
    </w:p>
    <w:p w14:paraId="77F661DE">
      <w:pPr>
        <w:rPr>
          <w:rFonts w:hint="eastAsia" w:ascii="宋体" w:hAnsi="宋体" w:cs="宋体"/>
          <w:color w:val="auto"/>
          <w:sz w:val="24"/>
        </w:rPr>
      </w:pPr>
      <w:r>
        <w:rPr>
          <w:rFonts w:hint="eastAsia" w:ascii="宋体" w:hAnsi="宋体" w:cs="宋体"/>
          <w:bCs/>
          <w:color w:val="auto"/>
          <w:sz w:val="24"/>
        </w:rPr>
        <w:t>备注：合同模板仅供参考，具体以实际签订合同为准。</w:t>
      </w:r>
    </w:p>
    <w:p w14:paraId="5FCA464C">
      <w:pPr>
        <w:pStyle w:val="4"/>
        <w:tabs>
          <w:tab w:val="center" w:pos="4153"/>
          <w:tab w:val="right" w:pos="8306"/>
          <w:tab w:val="clear" w:pos="4140"/>
          <w:tab w:val="clear" w:pos="8300"/>
        </w:tabs>
        <w:rPr>
          <w:rFonts w:hint="eastAsia" w:ascii="宋体" w:hAnsi="宋体" w:cs="宋体"/>
          <w:bCs/>
          <w:color w:val="auto"/>
          <w:sz w:val="24"/>
          <w:szCs w:val="24"/>
        </w:rPr>
      </w:pPr>
    </w:p>
    <w:tbl>
      <w:tblPr>
        <w:tblStyle w:val="7"/>
        <w:tblW w:w="0" w:type="auto"/>
        <w:jc w:val="center"/>
        <w:tblLayout w:type="fixed"/>
        <w:tblCellMar>
          <w:top w:w="0" w:type="dxa"/>
          <w:left w:w="108" w:type="dxa"/>
          <w:bottom w:w="0" w:type="dxa"/>
          <w:right w:w="108" w:type="dxa"/>
        </w:tblCellMar>
      </w:tblPr>
      <w:tblGrid>
        <w:gridCol w:w="4201"/>
        <w:gridCol w:w="4202"/>
      </w:tblGrid>
      <w:tr w14:paraId="303C942B">
        <w:tblPrEx>
          <w:tblCellMar>
            <w:top w:w="0" w:type="dxa"/>
            <w:left w:w="108" w:type="dxa"/>
            <w:bottom w:w="0" w:type="dxa"/>
            <w:right w:w="108" w:type="dxa"/>
          </w:tblCellMar>
        </w:tblPrEx>
        <w:trPr>
          <w:trHeight w:val="567" w:hRule="exact"/>
          <w:jc w:val="center"/>
        </w:trPr>
        <w:tc>
          <w:tcPr>
            <w:tcW w:w="4201" w:type="dxa"/>
            <w:noWrap w:val="0"/>
            <w:vAlign w:val="center"/>
          </w:tcPr>
          <w:p w14:paraId="79FB2B2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2" w:type="dxa"/>
            <w:noWrap w:val="0"/>
            <w:vAlign w:val="center"/>
          </w:tcPr>
          <w:p w14:paraId="7401F3A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p>
        </w:tc>
      </w:tr>
      <w:tr w14:paraId="4BA10A94">
        <w:tblPrEx>
          <w:tblCellMar>
            <w:top w:w="0" w:type="dxa"/>
            <w:left w:w="108" w:type="dxa"/>
            <w:bottom w:w="0" w:type="dxa"/>
            <w:right w:w="108" w:type="dxa"/>
          </w:tblCellMar>
        </w:tblPrEx>
        <w:trPr>
          <w:trHeight w:val="567" w:hRule="exact"/>
          <w:jc w:val="center"/>
        </w:trPr>
        <w:tc>
          <w:tcPr>
            <w:tcW w:w="4201" w:type="dxa"/>
            <w:noWrap w:val="0"/>
            <w:vAlign w:val="center"/>
          </w:tcPr>
          <w:p w14:paraId="79F757CF">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2" w:type="dxa"/>
            <w:noWrap w:val="0"/>
            <w:vAlign w:val="center"/>
          </w:tcPr>
          <w:p w14:paraId="054ED57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53B7DD5A">
        <w:tblPrEx>
          <w:tblCellMar>
            <w:top w:w="0" w:type="dxa"/>
            <w:left w:w="108" w:type="dxa"/>
            <w:bottom w:w="0" w:type="dxa"/>
            <w:right w:w="108" w:type="dxa"/>
          </w:tblCellMar>
        </w:tblPrEx>
        <w:trPr>
          <w:trHeight w:val="567" w:hRule="exact"/>
          <w:jc w:val="center"/>
        </w:trPr>
        <w:tc>
          <w:tcPr>
            <w:tcW w:w="4201" w:type="dxa"/>
            <w:noWrap w:val="0"/>
            <w:vAlign w:val="center"/>
          </w:tcPr>
          <w:p w14:paraId="50EC7FF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2" w:type="dxa"/>
            <w:noWrap w:val="0"/>
            <w:vAlign w:val="center"/>
          </w:tcPr>
          <w:p w14:paraId="081F0E0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A58D0D3">
        <w:tblPrEx>
          <w:tblCellMar>
            <w:top w:w="0" w:type="dxa"/>
            <w:left w:w="108" w:type="dxa"/>
            <w:bottom w:w="0" w:type="dxa"/>
            <w:right w:w="108" w:type="dxa"/>
          </w:tblCellMar>
        </w:tblPrEx>
        <w:trPr>
          <w:trHeight w:val="567" w:hRule="exact"/>
          <w:jc w:val="center"/>
        </w:trPr>
        <w:tc>
          <w:tcPr>
            <w:tcW w:w="4201" w:type="dxa"/>
            <w:noWrap w:val="0"/>
            <w:vAlign w:val="center"/>
          </w:tcPr>
          <w:p w14:paraId="011EADB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2" w:type="dxa"/>
            <w:noWrap w:val="0"/>
            <w:vAlign w:val="center"/>
          </w:tcPr>
          <w:p w14:paraId="4CA53A1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5B6B6FBA">
        <w:tblPrEx>
          <w:tblCellMar>
            <w:top w:w="0" w:type="dxa"/>
            <w:left w:w="108" w:type="dxa"/>
            <w:bottom w:w="0" w:type="dxa"/>
            <w:right w:w="108" w:type="dxa"/>
          </w:tblCellMar>
        </w:tblPrEx>
        <w:trPr>
          <w:trHeight w:val="567" w:hRule="exact"/>
          <w:jc w:val="center"/>
        </w:trPr>
        <w:tc>
          <w:tcPr>
            <w:tcW w:w="4201" w:type="dxa"/>
            <w:noWrap w:val="0"/>
            <w:vAlign w:val="center"/>
          </w:tcPr>
          <w:p w14:paraId="051AB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2" w:type="dxa"/>
            <w:noWrap w:val="0"/>
            <w:vAlign w:val="center"/>
          </w:tcPr>
          <w:p w14:paraId="7D43FFE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6807FCB0">
        <w:tblPrEx>
          <w:tblCellMar>
            <w:top w:w="0" w:type="dxa"/>
            <w:left w:w="108" w:type="dxa"/>
            <w:bottom w:w="0" w:type="dxa"/>
            <w:right w:w="108" w:type="dxa"/>
          </w:tblCellMar>
        </w:tblPrEx>
        <w:trPr>
          <w:trHeight w:val="567" w:hRule="exact"/>
          <w:jc w:val="center"/>
        </w:trPr>
        <w:tc>
          <w:tcPr>
            <w:tcW w:w="4201" w:type="dxa"/>
            <w:noWrap w:val="0"/>
            <w:vAlign w:val="center"/>
          </w:tcPr>
          <w:p w14:paraId="644E54E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2" w:type="dxa"/>
            <w:noWrap w:val="0"/>
            <w:vAlign w:val="center"/>
          </w:tcPr>
          <w:p w14:paraId="2498763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579D0BAD">
        <w:tblPrEx>
          <w:tblCellMar>
            <w:top w:w="0" w:type="dxa"/>
            <w:left w:w="108" w:type="dxa"/>
            <w:bottom w:w="0" w:type="dxa"/>
            <w:right w:w="108" w:type="dxa"/>
          </w:tblCellMar>
        </w:tblPrEx>
        <w:trPr>
          <w:trHeight w:val="567" w:hRule="exact"/>
          <w:jc w:val="center"/>
        </w:trPr>
        <w:tc>
          <w:tcPr>
            <w:tcW w:w="4201" w:type="dxa"/>
            <w:noWrap w:val="0"/>
            <w:vAlign w:val="center"/>
          </w:tcPr>
          <w:p w14:paraId="6C8B4A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2" w:type="dxa"/>
            <w:noWrap w:val="0"/>
            <w:vAlign w:val="center"/>
          </w:tcPr>
          <w:p w14:paraId="794AA21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71A5AE4D">
        <w:tblPrEx>
          <w:tblCellMar>
            <w:top w:w="0" w:type="dxa"/>
            <w:left w:w="108" w:type="dxa"/>
            <w:bottom w:w="0" w:type="dxa"/>
            <w:right w:w="108" w:type="dxa"/>
          </w:tblCellMar>
        </w:tblPrEx>
        <w:trPr>
          <w:trHeight w:val="567" w:hRule="exact"/>
          <w:jc w:val="center"/>
        </w:trPr>
        <w:tc>
          <w:tcPr>
            <w:tcW w:w="4201" w:type="dxa"/>
            <w:noWrap w:val="0"/>
            <w:vAlign w:val="center"/>
          </w:tcPr>
          <w:p w14:paraId="19BBB49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2" w:type="dxa"/>
            <w:noWrap w:val="0"/>
            <w:vAlign w:val="center"/>
          </w:tcPr>
          <w:p w14:paraId="10106E1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43AFAF02">
        <w:tblPrEx>
          <w:tblCellMar>
            <w:top w:w="0" w:type="dxa"/>
            <w:left w:w="108" w:type="dxa"/>
            <w:bottom w:w="0" w:type="dxa"/>
            <w:right w:w="108" w:type="dxa"/>
          </w:tblCellMar>
        </w:tblPrEx>
        <w:trPr>
          <w:trHeight w:val="567" w:hRule="exact"/>
          <w:jc w:val="center"/>
        </w:trPr>
        <w:tc>
          <w:tcPr>
            <w:tcW w:w="4201" w:type="dxa"/>
            <w:noWrap w:val="0"/>
            <w:vAlign w:val="center"/>
          </w:tcPr>
          <w:p w14:paraId="55FBF78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2" w:type="dxa"/>
            <w:noWrap w:val="0"/>
            <w:vAlign w:val="center"/>
          </w:tcPr>
          <w:p w14:paraId="566AB01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3564B416">
        <w:tblPrEx>
          <w:tblCellMar>
            <w:top w:w="0" w:type="dxa"/>
            <w:left w:w="108" w:type="dxa"/>
            <w:bottom w:w="0" w:type="dxa"/>
            <w:right w:w="108" w:type="dxa"/>
          </w:tblCellMar>
        </w:tblPrEx>
        <w:trPr>
          <w:trHeight w:val="567" w:hRule="exact"/>
          <w:jc w:val="center"/>
        </w:trPr>
        <w:tc>
          <w:tcPr>
            <w:tcW w:w="4201" w:type="dxa"/>
            <w:noWrap w:val="0"/>
            <w:vAlign w:val="center"/>
          </w:tcPr>
          <w:p w14:paraId="55EEAFF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2" w:type="dxa"/>
            <w:noWrap w:val="0"/>
            <w:vAlign w:val="center"/>
          </w:tcPr>
          <w:p w14:paraId="3485D6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0051BD99">
        <w:tblPrEx>
          <w:tblCellMar>
            <w:top w:w="0" w:type="dxa"/>
            <w:left w:w="108" w:type="dxa"/>
            <w:bottom w:w="0" w:type="dxa"/>
            <w:right w:w="108" w:type="dxa"/>
          </w:tblCellMar>
        </w:tblPrEx>
        <w:trPr>
          <w:trHeight w:val="567" w:hRule="exact"/>
          <w:jc w:val="center"/>
        </w:trPr>
        <w:tc>
          <w:tcPr>
            <w:tcW w:w="4201" w:type="dxa"/>
            <w:noWrap w:val="0"/>
            <w:vAlign w:val="center"/>
          </w:tcPr>
          <w:p w14:paraId="1B654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2" w:type="dxa"/>
            <w:noWrap w:val="0"/>
            <w:vAlign w:val="center"/>
          </w:tcPr>
          <w:p w14:paraId="08D5594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64A23F96">
      <w:pPr>
        <w:rPr>
          <w:rFonts w:hint="eastAsia" w:ascii="宋体" w:hAnsi="宋体" w:cs="宋体"/>
          <w:bCs/>
          <w:color w:val="auto"/>
          <w:sz w:val="24"/>
        </w:rPr>
      </w:pPr>
    </w:p>
    <w:p w14:paraId="1EE562B2">
      <w:r>
        <w:rPr>
          <w:rFonts w:hint="eastAsia" w:ascii="宋体" w:hAnsi="宋体" w:cs="宋体"/>
          <w:bCs/>
          <w:color w:val="auto"/>
          <w:sz w:val="24"/>
        </w:rPr>
        <w:t>备注：合同模板仅供参考，具体以实际签订合同为准。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334862"/>
    <w:multiLevelType w:val="singleLevel"/>
    <w:tmpl w:val="CA334862"/>
    <w:lvl w:ilvl="0" w:tentative="0">
      <w:start w:val="1"/>
      <w:numFmt w:val="decimal"/>
      <w:suff w:val="nothing"/>
      <w:lvlText w:val="（%1）"/>
      <w:lvlJc w:val="left"/>
      <w:pPr>
        <w:ind w:left="60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E42B80"/>
    <w:rsid w:val="17007510"/>
    <w:rsid w:val="1E4A4014"/>
    <w:rsid w:val="20D43C85"/>
    <w:rsid w:val="229E2900"/>
    <w:rsid w:val="249173B9"/>
    <w:rsid w:val="2A7C59B7"/>
    <w:rsid w:val="2D495691"/>
    <w:rsid w:val="2D9B6468"/>
    <w:rsid w:val="308C5352"/>
    <w:rsid w:val="30EB34E4"/>
    <w:rsid w:val="31C04023"/>
    <w:rsid w:val="31C76A58"/>
    <w:rsid w:val="33613CE8"/>
    <w:rsid w:val="338D3667"/>
    <w:rsid w:val="34EE5689"/>
    <w:rsid w:val="354F3848"/>
    <w:rsid w:val="36124C6B"/>
    <w:rsid w:val="38E42B80"/>
    <w:rsid w:val="39151903"/>
    <w:rsid w:val="395F671A"/>
    <w:rsid w:val="3D532166"/>
    <w:rsid w:val="4B427ECE"/>
    <w:rsid w:val="4D962551"/>
    <w:rsid w:val="57847624"/>
    <w:rsid w:val="59CB23DB"/>
    <w:rsid w:val="5C4719F2"/>
    <w:rsid w:val="60444879"/>
    <w:rsid w:val="67B235BF"/>
    <w:rsid w:val="6A0C16F7"/>
    <w:rsid w:val="7A6723E9"/>
    <w:rsid w:val="7A910112"/>
    <w:rsid w:val="7C3B1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qFormat/>
    <w:uiPriority w:val="0"/>
    <w:pPr>
      <w:keepNext/>
      <w:keepLines/>
      <w:spacing w:before="340" w:after="330" w:line="576" w:lineRule="auto"/>
      <w:outlineLvl w:val="0"/>
    </w:pPr>
    <w:rPr>
      <w:b/>
      <w:kern w:val="44"/>
      <w:sz w:val="32"/>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rPr>
  </w:style>
  <w:style w:type="paragraph" w:styleId="4">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5">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2619</Words>
  <Characters>2678</Characters>
  <Lines>0</Lines>
  <Paragraphs>0</Paragraphs>
  <TotalTime>1</TotalTime>
  <ScaleCrop>false</ScaleCrop>
  <LinksUpToDate>false</LinksUpToDate>
  <CharactersWithSpaces>2741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vivie</cp:lastModifiedBy>
  <dcterms:modified xsi:type="dcterms:W3CDTF">2026-01-22T01:31:23Z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1CCEC583AA234E7190960739386B8EF1_11</vt:lpwstr>
  </property>
  <property fmtid="{D5CDD505-2E9C-101B-9397-08002B2CF9AE}" pid="4" name="KSOTemplateDocerSaveRecord">
    <vt:lpwstr>eyJoZGlkIjoiZmE1NDk1Nzc4ODgwMzA2NTdlMzMyYWJiMTdlNDg5YTciLCJ1c2VySWQiOiI5MzI2NzcyMjUifQ==</vt:lpwstr>
  </property>
</Properties>
</file>