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版本号：HCF2026—CGZB—00220260128001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富平县张桥镇基础设施建设项目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HCF2026—CGZB—002</w:t>
      </w:r>
      <w:r>
        <w:br/>
      </w:r>
      <w:r>
        <w:br/>
      </w:r>
      <w:r>
        <w:br/>
      </w:r>
    </w:p>
    <w:p>
      <w:pPr>
        <w:pStyle w:val="null3"/>
        <w:jc w:val="center"/>
        <w:outlineLvl w:val="2"/>
      </w:pPr>
      <w:r>
        <w:rPr>
          <w:rFonts w:ascii="仿宋_GB2312" w:hAnsi="仿宋_GB2312" w:cs="仿宋_GB2312" w:eastAsia="仿宋_GB2312"/>
          <w:sz w:val="28"/>
          <w:b/>
        </w:rPr>
        <w:t>富平县张桥镇人民政府（本级）</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富平县张桥镇人民政府（本级）</w:t>
      </w:r>
      <w:r>
        <w:rPr>
          <w:rFonts w:ascii="仿宋_GB2312" w:hAnsi="仿宋_GB2312" w:cs="仿宋_GB2312" w:eastAsia="仿宋_GB2312"/>
        </w:rPr>
        <w:t>委托，拟对</w:t>
      </w:r>
      <w:r>
        <w:rPr>
          <w:rFonts w:ascii="仿宋_GB2312" w:hAnsi="仿宋_GB2312" w:cs="仿宋_GB2312" w:eastAsia="仿宋_GB2312"/>
        </w:rPr>
        <w:t>富平县张桥镇基础设施建设项目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HCF2026—CGZB—002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富平县张桥镇基础设施建设项目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富平县张桥镇基础设施建设项目，主要建设内容为巷道硬化、更换路灯及道牙、新修排水及配套工程。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采购包1（富平县张桥镇基础设施建设项目）：属于专门面向中小企业采购。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要求：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授权委托要求：法定代表人参加投标只须提供法定代表人身份证明书（附法定代表人身份证复印件或扫描件）；被授权人参加投标只须提供法定代表人授权委托书（附法定代表人、被授权人身份证复印件或扫描件）；</w:t>
      </w:r>
    </w:p>
    <w:p>
      <w:pPr>
        <w:pStyle w:val="null3"/>
      </w:pPr>
      <w:r>
        <w:rPr>
          <w:rFonts w:ascii="仿宋_GB2312" w:hAnsi="仿宋_GB2312" w:cs="仿宋_GB2312" w:eastAsia="仿宋_GB2312"/>
        </w:rPr>
        <w:t>3、资质和专业要求：具备建筑工程或市政公用工程施工总承包三级及以上资质；</w:t>
      </w:r>
    </w:p>
    <w:p>
      <w:pPr>
        <w:pStyle w:val="null3"/>
      </w:pPr>
      <w:r>
        <w:rPr>
          <w:rFonts w:ascii="仿宋_GB2312" w:hAnsi="仿宋_GB2312" w:cs="仿宋_GB2312" w:eastAsia="仿宋_GB2312"/>
        </w:rPr>
        <w:t>4、安全生产许可证要求：具有建设行政主管部门核发有效的安全生产许可证；</w:t>
      </w:r>
    </w:p>
    <w:p>
      <w:pPr>
        <w:pStyle w:val="null3"/>
      </w:pPr>
      <w:r>
        <w:rPr>
          <w:rFonts w:ascii="仿宋_GB2312" w:hAnsi="仿宋_GB2312" w:cs="仿宋_GB2312" w:eastAsia="仿宋_GB2312"/>
        </w:rPr>
        <w:t>5、拟派项目经理资质和专业要求：拟派项目经理须具备建筑工程或市政公用工程注册建造师二级及以上资格和有效的安全生产考核证书，须提供项目经理无在建工程的相关证明材料或承诺书；</w:t>
      </w:r>
    </w:p>
    <w:p>
      <w:pPr>
        <w:pStyle w:val="null3"/>
      </w:pPr>
      <w:r>
        <w:rPr>
          <w:rFonts w:ascii="仿宋_GB2312" w:hAnsi="仿宋_GB2312" w:cs="仿宋_GB2312" w:eastAsia="仿宋_GB2312"/>
        </w:rPr>
        <w:t>6、财务状况要求：提供开标前近三个月内基本开户银行开具的资信证明或2024年至今任意一年经审计的财务报告（财务报告须符合《财政部关于注册会计师行业统一监管平台上线运行的通知》财办[2022]32号文件要求，成立时间至提交磋商响应文件截止时间不足一年的可提供成立后任意时段的财务报表）；</w:t>
      </w:r>
    </w:p>
    <w:p>
      <w:pPr>
        <w:pStyle w:val="null3"/>
      </w:pPr>
      <w:r>
        <w:rPr>
          <w:rFonts w:ascii="仿宋_GB2312" w:hAnsi="仿宋_GB2312" w:cs="仿宋_GB2312" w:eastAsia="仿宋_GB2312"/>
        </w:rPr>
        <w:t>7、缴纳税收的要求：提供依法缴纳税收的良好记录（提供磋商响应文件递交截止时间前六个月内任意一个月份的缴纳凭据复印件或扫描件。依法免税或开标前一年内零申报的供应商应提供相关证明文件）；</w:t>
      </w:r>
    </w:p>
    <w:p>
      <w:pPr>
        <w:pStyle w:val="null3"/>
      </w:pPr>
      <w:r>
        <w:rPr>
          <w:rFonts w:ascii="仿宋_GB2312" w:hAnsi="仿宋_GB2312" w:cs="仿宋_GB2312" w:eastAsia="仿宋_GB2312"/>
        </w:rPr>
        <w:t>8、缴纳社会保障资金的要求：提供依法缴纳社会保障资金的良好记录（提供磋商响应文件递交截止时间前六个月内任意一个月份的缴纳凭据复印件或扫描件。依法不需要缴纳社会保障资金的供应商应提供相关证明文件）；</w:t>
      </w:r>
    </w:p>
    <w:p>
      <w:pPr>
        <w:pStyle w:val="null3"/>
      </w:pPr>
      <w:r>
        <w:rPr>
          <w:rFonts w:ascii="仿宋_GB2312" w:hAnsi="仿宋_GB2312" w:cs="仿宋_GB2312" w:eastAsia="仿宋_GB2312"/>
        </w:rPr>
        <w:t>9、信誉要求：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最终以采购代理机构开标现场查询结果为准）；</w:t>
      </w:r>
    </w:p>
    <w:p>
      <w:pPr>
        <w:pStyle w:val="null3"/>
      </w:pPr>
      <w:r>
        <w:rPr>
          <w:rFonts w:ascii="仿宋_GB2312" w:hAnsi="仿宋_GB2312" w:cs="仿宋_GB2312" w:eastAsia="仿宋_GB2312"/>
        </w:rPr>
        <w:t>10、无重大违法记录的要求：提供近三年内在经营活动中无重大违法记录的书面声明；</w:t>
      </w:r>
    </w:p>
    <w:p>
      <w:pPr>
        <w:pStyle w:val="null3"/>
      </w:pPr>
      <w:r>
        <w:rPr>
          <w:rFonts w:ascii="仿宋_GB2312" w:hAnsi="仿宋_GB2312" w:cs="仿宋_GB2312" w:eastAsia="仿宋_GB2312"/>
        </w:rPr>
        <w:t>11、磋商保证金要求：提供磋商保证金银行转账凭证及基本存款账户信息证明资料或金融机构、担保机构出具的保函复印件或扫描件；</w:t>
      </w:r>
    </w:p>
    <w:p>
      <w:pPr>
        <w:pStyle w:val="null3"/>
      </w:pPr>
      <w:r>
        <w:rPr>
          <w:rFonts w:ascii="仿宋_GB2312" w:hAnsi="仿宋_GB2312" w:cs="仿宋_GB2312" w:eastAsia="仿宋_GB2312"/>
        </w:rPr>
        <w:t>12、单位负责人为同一人或者存在直接控股、管理关系的不同供应商，不得参加同一合同项下的政府采购活动的要求：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13、具有履行合同所必需的设备和专业技术能力的要求：提供具有履行本合同所必需的设备和专业技术能力的说明及承诺；</w:t>
      </w:r>
    </w:p>
    <w:p>
      <w:pPr>
        <w:pStyle w:val="null3"/>
      </w:pPr>
      <w:r>
        <w:rPr>
          <w:rFonts w:ascii="仿宋_GB2312" w:hAnsi="仿宋_GB2312" w:cs="仿宋_GB2312" w:eastAsia="仿宋_GB2312"/>
        </w:rPr>
        <w:t>14、面向中小企业采购政策落实情况：本项目专门面向中小企业采购，供应商须提供《中小企业声明函》。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富平县张桥镇人民政府（本级）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陕西省渭南市富平县张桥镇街道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路越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0913-8930001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陕西省西安市碑林区南二环西段21号华融国际商务大厦B-1701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郭磊磊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0913-8219328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蒋蔓</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开户名称：华春建设工程项目管理有限责任公司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银行账号：30208471002765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考国家计委印发《招标代理服务收费管理暂行办法》的通知（计价格[2002]1980号）计算，不计入工程造价，按照国家发展改革委办公厅《关于招标代理服务收费有关问题的通知》（发改办价格[2003]857号）规定向成交供应商收取。造价咨询服务费按陕西省物价局 陕西省住房和城乡建设厅《关于我省工程造价咨询服务收费标准有关问题的通知》（陕价行发[2014]88号文件）计算收取，不计入工程造价，由成交供应商支付。若本次招标失败（非代理机构原因），招标代理服务费和造价咨询服务费由采购人支付。在领取中标（成交）通知书时向采购代理机构一次付清（现金或转账），具体金额以代理公司开具的税票为准。</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富平县张桥镇人民政府（本级）</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富平县张桥镇人民政府（本级）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富平县张桥镇人民政府（本级）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在签订施工合同时另行约定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联系人：郭磊磊</w:t>
      </w:r>
    </w:p>
    <w:p>
      <w:pPr>
        <w:pStyle w:val="null3"/>
      </w:pPr>
      <w:r>
        <w:rPr>
          <w:rFonts w:ascii="仿宋_GB2312" w:hAnsi="仿宋_GB2312" w:cs="仿宋_GB2312" w:eastAsia="仿宋_GB2312"/>
        </w:rPr>
        <w:t>联系电话：0913-8219328</w:t>
      </w:r>
    </w:p>
    <w:p>
      <w:pPr>
        <w:pStyle w:val="null3"/>
      </w:pPr>
      <w:r>
        <w:rPr>
          <w:rFonts w:ascii="仿宋_GB2312" w:hAnsi="仿宋_GB2312" w:cs="仿宋_GB2312" w:eastAsia="仿宋_GB2312"/>
        </w:rPr>
        <w:t>地址：陕西省渭南市富平县紫御台B区商务楼四层</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1,349,193.22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富平县张桥镇基础设施建设项目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标的名称：富平县张桥镇基础设施建设项目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清</w:t>
            </w:r>
            <w:r>
              <w:rPr>
                <w:rFonts w:ascii="仿宋_GB2312" w:hAnsi="仿宋_GB2312" w:cs="仿宋_GB2312" w:eastAsia="仿宋_GB2312"/>
                <w:sz w:val="44"/>
              </w:rPr>
              <w:t>单</w:t>
            </w:r>
            <w:r>
              <w:rPr>
                <w:rFonts w:ascii="仿宋_GB2312" w:hAnsi="仿宋_GB2312" w:cs="仿宋_GB2312" w:eastAsia="仿宋_GB2312"/>
                <w:sz w:val="44"/>
              </w:rPr>
              <w:t>编</w:t>
            </w:r>
            <w:r>
              <w:rPr>
                <w:rFonts w:ascii="仿宋_GB2312" w:hAnsi="仿宋_GB2312" w:cs="仿宋_GB2312" w:eastAsia="仿宋_GB2312"/>
                <w:sz w:val="44"/>
              </w:rPr>
              <w:t>制</w:t>
            </w:r>
            <w:r>
              <w:rPr>
                <w:rFonts w:ascii="仿宋_GB2312" w:hAnsi="仿宋_GB2312" w:cs="仿宋_GB2312" w:eastAsia="仿宋_GB2312"/>
                <w:sz w:val="44"/>
              </w:rPr>
              <w:t>说</w:t>
            </w:r>
            <w:r>
              <w:rPr>
                <w:rFonts w:ascii="仿宋_GB2312" w:hAnsi="仿宋_GB2312" w:cs="仿宋_GB2312" w:eastAsia="仿宋_GB2312"/>
                <w:sz w:val="44"/>
              </w:rPr>
              <w:t>明</w:t>
            </w:r>
          </w:p>
          <w:p>
            <w:pPr>
              <w:pStyle w:val="null3"/>
              <w:spacing w:before="150" w:after="150"/>
              <w:jc w:val="both"/>
            </w:pPr>
            <w:r>
              <w:rPr>
                <w:rFonts w:ascii="仿宋_GB2312" w:hAnsi="仿宋_GB2312" w:cs="仿宋_GB2312" w:eastAsia="仿宋_GB2312"/>
                <w:sz w:val="24"/>
              </w:rPr>
              <w:t>一、工程概况</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rPr>
              <w:t>富平县张桥镇基础设施建设项目</w:t>
            </w:r>
            <w:r>
              <w:rPr>
                <w:rFonts w:ascii="仿宋_GB2312" w:hAnsi="仿宋_GB2312" w:cs="仿宋_GB2312" w:eastAsia="仿宋_GB2312"/>
                <w:sz w:val="24"/>
              </w:rPr>
              <w:t>，</w:t>
            </w:r>
            <w:r>
              <w:rPr>
                <w:rFonts w:ascii="仿宋_GB2312" w:hAnsi="仿宋_GB2312" w:cs="仿宋_GB2312" w:eastAsia="仿宋_GB2312"/>
                <w:sz w:val="24"/>
                <w:color w:val="000000"/>
              </w:rPr>
              <w:t>主要建设内容为巷道硬化、更换路灯及道牙、新修排水及配套工程</w:t>
            </w:r>
            <w:r>
              <w:rPr>
                <w:rFonts w:ascii="仿宋_GB2312" w:hAnsi="仿宋_GB2312" w:cs="仿宋_GB2312" w:eastAsia="仿宋_GB2312"/>
                <w:sz w:val="24"/>
                <w:color w:val="000000"/>
              </w:rPr>
              <w:t>。</w:t>
            </w:r>
          </w:p>
          <w:p>
            <w:pPr>
              <w:pStyle w:val="null3"/>
              <w:spacing w:before="150" w:after="150"/>
              <w:jc w:val="both"/>
            </w:pPr>
            <w:r>
              <w:rPr>
                <w:rFonts w:ascii="仿宋_GB2312" w:hAnsi="仿宋_GB2312" w:cs="仿宋_GB2312" w:eastAsia="仿宋_GB2312"/>
                <w:sz w:val="24"/>
                <w:color w:val="000000"/>
              </w:rPr>
              <w:t>二、编制依据</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1. 施工设计图纸</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2.《陕西省建</w:t>
            </w:r>
            <w:r>
              <w:rPr>
                <w:rFonts w:ascii="仿宋_GB2312" w:hAnsi="仿宋_GB2312" w:cs="仿宋_GB2312" w:eastAsia="仿宋_GB2312"/>
                <w:sz w:val="24"/>
                <w:color w:val="000000"/>
              </w:rPr>
              <w:t>设</w:t>
            </w:r>
            <w:r>
              <w:rPr>
                <w:rFonts w:ascii="仿宋_GB2312" w:hAnsi="仿宋_GB2312" w:cs="仿宋_GB2312" w:eastAsia="仿宋_GB2312"/>
                <w:sz w:val="24"/>
                <w:color w:val="000000"/>
              </w:rPr>
              <w:t>工程工程量清单计价</w:t>
            </w:r>
            <w:r>
              <w:rPr>
                <w:rFonts w:ascii="仿宋_GB2312" w:hAnsi="仿宋_GB2312" w:cs="仿宋_GB2312" w:eastAsia="仿宋_GB2312"/>
                <w:sz w:val="24"/>
                <w:color w:val="000000"/>
              </w:rPr>
              <w:t>标准及计算标准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房屋建筑与装饰工程</w:t>
            </w:r>
            <w:r>
              <w:rPr>
                <w:rFonts w:ascii="仿宋_GB2312" w:hAnsi="仿宋_GB2312" w:cs="仿宋_GB2312" w:eastAsia="仿宋_GB2312"/>
                <w:sz w:val="24"/>
                <w:color w:val="000000"/>
              </w:rPr>
              <w:t>消耗量定额（</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通用安装工程</w:t>
            </w:r>
            <w:r>
              <w:rPr>
                <w:rFonts w:ascii="仿宋_GB2312" w:hAnsi="仿宋_GB2312" w:cs="仿宋_GB2312" w:eastAsia="仿宋_GB2312"/>
                <w:sz w:val="24"/>
                <w:color w:val="000000"/>
              </w:rPr>
              <w:t>消耗量定额（</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房屋建筑与装饰工程基价表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通用安装工程基价表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主要材料价格依据《陕西工程造价管理信息》</w:t>
            </w:r>
            <w:r>
              <w:rPr>
                <w:rFonts w:ascii="仿宋_GB2312" w:hAnsi="仿宋_GB2312" w:cs="仿宋_GB2312" w:eastAsia="仿宋_GB2312"/>
                <w:sz w:val="24"/>
                <w:color w:val="000000"/>
              </w:rPr>
              <w:t>2025年（第11期）、《渭南工程造价信息》2025年（第五期）及当地市场价；</w:t>
            </w:r>
          </w:p>
          <w:p>
            <w:pPr>
              <w:pStyle w:val="null3"/>
              <w:spacing w:before="150" w:after="150"/>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 采用广联达云计价平台GCCP</w:t>
            </w:r>
            <w:r>
              <w:rPr>
                <w:rFonts w:ascii="仿宋_GB2312" w:hAnsi="仿宋_GB2312" w:cs="仿宋_GB2312" w:eastAsia="仿宋_GB2312"/>
                <w:sz w:val="24"/>
                <w:color w:val="000000"/>
              </w:rPr>
              <w:t>7</w:t>
            </w:r>
            <w:r>
              <w:rPr>
                <w:rFonts w:ascii="仿宋_GB2312" w:hAnsi="仿宋_GB2312" w:cs="仿宋_GB2312" w:eastAsia="仿宋_GB2312"/>
                <w:sz w:val="24"/>
                <w:color w:val="000000"/>
              </w:rPr>
              <w:t>.0（</w:t>
            </w:r>
            <w:r>
              <w:rPr>
                <w:rFonts w:ascii="仿宋_GB2312" w:hAnsi="仿宋_GB2312" w:cs="仿宋_GB2312" w:eastAsia="仿宋_GB2312"/>
                <w:sz w:val="24"/>
                <w:color w:val="000000"/>
              </w:rPr>
              <w:t>7.5000.23.2</w:t>
            </w:r>
            <w:r>
              <w:rPr>
                <w:rFonts w:ascii="仿宋_GB2312" w:hAnsi="仿宋_GB2312" w:cs="仿宋_GB2312" w:eastAsia="仿宋_GB2312"/>
                <w:sz w:val="24"/>
                <w:color w:val="000000"/>
              </w:rPr>
              <w:t>）版本编制。</w:t>
            </w:r>
          </w:p>
          <w:p>
            <w:pPr>
              <w:pStyle w:val="null3"/>
              <w:spacing w:before="150" w:after="150"/>
              <w:jc w:val="both"/>
            </w:pPr>
            <w:r>
              <w:rPr>
                <w:rFonts w:ascii="仿宋_GB2312" w:hAnsi="仿宋_GB2312" w:cs="仿宋_GB2312" w:eastAsia="仿宋_GB2312"/>
                <w:sz w:val="24"/>
              </w:rPr>
              <w:t>三、编制范围</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color w:val="000000"/>
              </w:rPr>
              <w:t>图纸中包含的全部内容。</w:t>
            </w:r>
          </w:p>
          <w:p>
            <w:pPr>
              <w:pStyle w:val="null3"/>
              <w:spacing w:before="150" w:after="150"/>
              <w:jc w:val="both"/>
            </w:pPr>
            <w:r>
              <w:rPr>
                <w:rFonts w:ascii="仿宋_GB2312" w:hAnsi="仿宋_GB2312" w:cs="仿宋_GB2312" w:eastAsia="仿宋_GB2312"/>
                <w:sz w:val="24"/>
              </w:rPr>
              <w:t>四、其他说明：</w:t>
            </w:r>
          </w:p>
          <w:p>
            <w:pPr>
              <w:pStyle w:val="null3"/>
              <w:spacing w:before="150" w:after="150"/>
              <w:ind w:firstLine="480"/>
              <w:jc w:val="both"/>
            </w:pPr>
            <w:r>
              <w:rPr>
                <w:rFonts w:ascii="仿宋_GB2312" w:hAnsi="仿宋_GB2312" w:cs="仿宋_GB2312" w:eastAsia="仿宋_GB2312"/>
                <w:sz w:val="24"/>
              </w:rPr>
              <w:t>1.招标代理服务费与造价咨询服务费不计入工程造价；</w:t>
            </w:r>
          </w:p>
          <w:p>
            <w:pPr>
              <w:pStyle w:val="null3"/>
              <w:spacing w:before="150" w:after="150"/>
              <w:ind w:firstLine="480"/>
              <w:jc w:val="both"/>
            </w:pPr>
            <w:r>
              <w:rPr>
                <w:rFonts w:ascii="仿宋_GB2312" w:hAnsi="仿宋_GB2312" w:cs="仿宋_GB2312" w:eastAsia="仿宋_GB2312"/>
                <w:sz w:val="24"/>
              </w:rPr>
              <w:t>2.具体工程量清单详见附件。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符合国家、行业相关标准及要求，质量达到合格。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合同签订后60日历天内施工完毕；2、付款方式：施工合同签订后，付合同价款的30%，施工完成验收合格后付至合同价款的70%，待工程决算审计报告双方签字盖章认可后，付至合同价款的97%，剩余3%缺陷责任期满后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1、投标时供应商无需提供纸质版响应文件。成交供应商在领取成交通知书前将纸质版响应文件打印胶装3份、电子版（U 盘）文件3份提交至采购代理机构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 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开标前近三个月内基本开户银行开具的资信证明或2024年至今任意一年经审计的财务报告（财务报告须符合《财政部关于注册会计师行业统一监管平台上线运行的通知》财办[2022]32号文件要求，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供应商特定资格要求.docx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营业执照或其他要求</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授权委托要求</w:t>
            </w:r>
          </w:p>
        </w:tc>
        <w:tc>
          <w:tcPr>
            <w:tcW w:type="dxa" w:w="3322"/>
          </w:tcPr>
          <w:p>
            <w:pPr>
              <w:pStyle w:val="null3"/>
            </w:pPr>
            <w:r>
              <w:rPr>
                <w:rFonts w:ascii="仿宋_GB2312" w:hAnsi="仿宋_GB2312" w:cs="仿宋_GB2312" w:eastAsia="仿宋_GB2312"/>
              </w:rPr>
              <w:t>法定代表人参加投标只须提供法定代表人身份证明书（附法定代表人身份证复印件或扫描件）；被授权人参加投标只须提供法定代表人授权委托书（附法定代表人、被授权人身份证复印件或扫描件）；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资质和专业要求</w:t>
            </w:r>
          </w:p>
        </w:tc>
        <w:tc>
          <w:tcPr>
            <w:tcW w:type="dxa" w:w="3322"/>
          </w:tcPr>
          <w:p>
            <w:pPr>
              <w:pStyle w:val="null3"/>
            </w:pPr>
            <w:r>
              <w:rPr>
                <w:rFonts w:ascii="仿宋_GB2312" w:hAnsi="仿宋_GB2312" w:cs="仿宋_GB2312" w:eastAsia="仿宋_GB2312"/>
              </w:rPr>
              <w:t>具备建筑工程或市政公用工程施工总承包三级及以上资质；</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安全生产许可证要求</w:t>
            </w:r>
          </w:p>
        </w:tc>
        <w:tc>
          <w:tcPr>
            <w:tcW w:type="dxa" w:w="3322"/>
          </w:tcPr>
          <w:p>
            <w:pPr>
              <w:pStyle w:val="null3"/>
            </w:pPr>
            <w:r>
              <w:rPr>
                <w:rFonts w:ascii="仿宋_GB2312" w:hAnsi="仿宋_GB2312" w:cs="仿宋_GB2312" w:eastAsia="仿宋_GB2312"/>
              </w:rPr>
              <w:t>具有建设行政主管部门核发有效的安全生产许可证；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拟派项目经理须具备建筑工程或市政公用工程注册建造师二级及以上资格和有效的安全生产考核证书，须提供项目经理无在建工程的相关证明材料或承诺书；</w:t>
            </w:r>
          </w:p>
        </w:tc>
        <w:tc>
          <w:tcPr>
            <w:tcW w:type="dxa" w:w="1661"/>
          </w:tcPr>
          <w:p>
            <w:pPr>
              <w:pStyle w:val="null3"/>
            </w:pPr>
            <w:r>
              <w:rPr>
                <w:rFonts w:ascii="仿宋_GB2312" w:hAnsi="仿宋_GB2312" w:cs="仿宋_GB2312" w:eastAsia="仿宋_GB2312"/>
              </w:rPr>
              <w:t>项目组织机构.docx 项目管理机构组成表 供应商特定资格要求.docx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财务状况要求</w:t>
            </w:r>
          </w:p>
        </w:tc>
        <w:tc>
          <w:tcPr>
            <w:tcW w:type="dxa" w:w="3322"/>
          </w:tcPr>
          <w:p>
            <w:pPr>
              <w:pStyle w:val="null3"/>
            </w:pPr>
            <w:r>
              <w:rPr>
                <w:rFonts w:ascii="仿宋_GB2312" w:hAnsi="仿宋_GB2312" w:cs="仿宋_GB2312" w:eastAsia="仿宋_GB2312"/>
              </w:rPr>
              <w:t>提供开标前近三个月内基本开户银行开具的资信证明或2024年至今任意一年经审计的财务报告（财务报告须符合《财政部关于注册会计师行业统一监管平台上线运行的通知》财办[2022]32号文件要求，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缴纳税收的要求</w:t>
            </w:r>
          </w:p>
        </w:tc>
        <w:tc>
          <w:tcPr>
            <w:tcW w:type="dxa" w:w="3322"/>
          </w:tcPr>
          <w:p>
            <w:pPr>
              <w:pStyle w:val="null3"/>
            </w:pPr>
            <w:r>
              <w:rPr>
                <w:rFonts w:ascii="仿宋_GB2312" w:hAnsi="仿宋_GB2312" w:cs="仿宋_GB2312" w:eastAsia="仿宋_GB2312"/>
              </w:rPr>
              <w:t>提供依法缴纳税收的良好记录（提供磋商响应文件递交截止时间前六个月内任意一个月份的缴纳凭据复印件或扫描件。依法免税或开标前一年内零申报的供应商应提供相关证明文件）；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缴纳社会保障资金的要求</w:t>
            </w:r>
          </w:p>
        </w:tc>
        <w:tc>
          <w:tcPr>
            <w:tcW w:type="dxa" w:w="3322"/>
          </w:tcPr>
          <w:p>
            <w:pPr>
              <w:pStyle w:val="null3"/>
            </w:pPr>
            <w:r>
              <w:rPr>
                <w:rFonts w:ascii="仿宋_GB2312" w:hAnsi="仿宋_GB2312" w:cs="仿宋_GB2312" w:eastAsia="仿宋_GB2312"/>
              </w:rPr>
              <w:t>提供依法缴纳社会保障资金的良好记录（提供磋商响应文件递交截止时间前六个月内任意一个月份的缴纳凭据复印件或扫描件。依法不需要缴纳社会保障资金的供应商应提供相关证明文件）；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最终以采购代理机构开标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无重大违法记录的要求</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磋商保证金要求</w:t>
            </w:r>
          </w:p>
        </w:tc>
        <w:tc>
          <w:tcPr>
            <w:tcW w:type="dxa" w:w="3322"/>
          </w:tcPr>
          <w:p>
            <w:pPr>
              <w:pStyle w:val="null3"/>
            </w:pPr>
            <w:r>
              <w:rPr>
                <w:rFonts w:ascii="仿宋_GB2312" w:hAnsi="仿宋_GB2312" w:cs="仿宋_GB2312" w:eastAsia="仿宋_GB2312"/>
              </w:rPr>
              <w:t>提供磋商保证金银行转账凭证及基本存款账户信息证明资料或金融机构、担保机构出具的保函复印件或扫描件；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单位负责人为同一人或者存在直接控股、管理关系的不同供应商，不得参加同一合同项下的政府采购活动的要求</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具有履行合同所必需的设备和专业技术能力的要求</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面向中小企业采购政策落实情况</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内容无重大缺漏项，报价唯一，且不高于本项目最高限价。</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报价函 标的清单 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近年完成的类似项目情况表.docx 响应文件封面 项目管理机构组成表 残疾人福利性单位声明函 报价函 标的清单 供应商特定资格要求.docx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提供针对本项目的施工组织设计，至少应包括：①确保工程质量的技术组织措施；②确保安全生产的技术组织措施；③确保文明施工及环境保护的技术组织措施；④确保工期的技术组织措施及施工进度表(横道图或网络图)；⑤施工方案；⑥施工机械配备和材料投入计划及劳动力安排计划；⑦新技术、新产品、新工艺、新材料应用。包含但不限于上述全部内容，方案详细，清晰有利于项目实施的每项得8分。（如有缺陷或不足在此分数基础上进行扣分），以上7项中： （1）每有1项缺失或不切实符合项目需求的扣8分； （2）每有1项内容存在缺陷或不足扣5分； （3）每有1项总体内容完备但存在部分瑕疵扣2分。</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1、项目经理具有中级职称的得2分，高级及以上职称得3分。 2、具有五大员（质量员、安全员、施工员、材料员、资料员）上岗证书（安全员须具有安全生产考核合格证书）的一项得1分，最高得5分。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项目组织机构.docx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2023年01月至今完成的类似业绩，一项得2分，最多得6分。 注：须附类似项目业绩的成交（中标）通知书或合同或竣工验收证明材料复印件或扫描件），以提供证明资料的落款时间为准。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经资格审查合格及符合性审查合格的磋商响应文件，其磋商报价有效；将满足磋商文件要求且最后报价最低的供应商的价格作为磋商基准价，其价格分为满分（30分）； 其他供应商磋商报价得分=(磋商基准价／最后磋商报价)×30%×100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