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版本号：JQ2025-ZFCG-1216.1B120260109002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富平县农业物联网试点项目(二次)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JQ2025-ZFCG-1216.1B1</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富平县农业物联网试点项目(二次)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JQ2025-ZFCG-1216.1B1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富平县农业物联网试点项目(二次)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农业物联网系统建设、系统集成与调试、数据采集与分析、平台运维服务、用户培训与技术支持。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3、提供健全的财务会计制度的证明材料：须提供2024年经审计的财务报告，审计报告应当经过注册会计师行业统一监管平台备案赋码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p>
      <w:pPr>
        <w:pStyle w:val="null3"/>
      </w:pPr>
      <w:r>
        <w:rPr>
          <w:rFonts w:ascii="仿宋_GB2312" w:hAnsi="仿宋_GB2312" w:cs="仿宋_GB2312" w:eastAsia="仿宋_GB2312"/>
        </w:rPr>
        <w:t>4、税收缴纳证明：须提供依法缴纳税收资金的良好记录（提供投标截止时间前六个月内任意一个月份的缴费凭据复印 件并加盖投标单位公章）；</w:t>
      </w:r>
    </w:p>
    <w:p>
      <w:pPr>
        <w:pStyle w:val="null3"/>
      </w:pPr>
      <w:r>
        <w:rPr>
          <w:rFonts w:ascii="仿宋_GB2312" w:hAnsi="仿宋_GB2312" w:cs="仿宋_GB2312" w:eastAsia="仿宋_GB2312"/>
        </w:rPr>
        <w:t>5、社会保障资金的良好记录：须提供依法缴纳社会保障资金的良好记录（提供投标截止时间前六个月内任意一个月份的 缴纳凭据复印件并加盖单位公章）</w:t>
      </w:r>
    </w:p>
    <w:p>
      <w:pPr>
        <w:pStyle w:val="null3"/>
      </w:pPr>
      <w:r>
        <w:rPr>
          <w:rFonts w:ascii="仿宋_GB2312" w:hAnsi="仿宋_GB2312" w:cs="仿宋_GB2312" w:eastAsia="仿宋_GB2312"/>
        </w:rPr>
        <w:t>6、具有履行合同所必需的设备和专业技术能力：提供具有履行合同所必需的设备和专业技术能力声明。</w:t>
      </w:r>
    </w:p>
    <w:p>
      <w:pPr>
        <w:pStyle w:val="null3"/>
      </w:pPr>
      <w:r>
        <w:rPr>
          <w:rFonts w:ascii="仿宋_GB2312" w:hAnsi="仿宋_GB2312" w:cs="仿宋_GB2312" w:eastAsia="仿宋_GB2312"/>
        </w:rPr>
        <w:t>7、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8、信用查询：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9、保证金转账凭证或保函复印件：提供投标保证金转账凭证及开户银行许可证复印件并加盖投标单位公章；</w:t>
      </w:r>
    </w:p>
    <w:p>
      <w:pPr>
        <w:pStyle w:val="null3"/>
      </w:pPr>
      <w:r>
        <w:rPr>
          <w:rFonts w:ascii="仿宋_GB2312" w:hAnsi="仿宋_GB2312" w:cs="仿宋_GB2312" w:eastAsia="仿宋_GB2312"/>
        </w:rPr>
        <w:t>10、书面声明：提供单位负责人为同一人或者存在直接控股、管理关系的不同供应商，不得参加同一合同项下的政府采购活动的书面声明；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11、本项目不接受联合体投标：本项目不接受联合体投标</w:t>
      </w:r>
    </w:p>
    <w:p>
      <w:pPr>
        <w:pStyle w:val="null3"/>
      </w:pPr>
      <w:r>
        <w:rPr>
          <w:rFonts w:ascii="仿宋_GB2312" w:hAnsi="仿宋_GB2312" w:cs="仿宋_GB2312" w:eastAsia="仿宋_GB2312"/>
        </w:rPr>
        <w:t>12、是否面向中小型企业：未专门面向中小型企业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19166851088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以磋商文件及合同约定为准。验收依据：验收依据:按磋商文件、响应文件及澄清函、项目检查情况等综合指标进行验收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 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农业物联网系统建设、系统集成与调试、数据采集与分析、平台运维服务、用户培训与技术支持。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富平县农业物联网试点项目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标的名称：富平县农业物联网试点项目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服务标准：符合国家相关行业标准及技术规范；</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服务期限：自合同签订之日起 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要求：1.投标人须具备系统集成、软件开发、质量管理体系等相关资质；2.具备类似项目的成功案例，并提供相关证明材料；3.提供完整的实施方案、技术方案、售后服务方案；4.配备专业技术人员，确保系统稳定运行；5.服务期内需定期巡检、维护，及时处理系统故障；</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范围：1.农业物联网系统建设：包括传感器部署、数据采集、通信网络搭建、数据平台开发等；2.系统集成与调试：完成硬件与软件系统的对接、测试与优化；3.数据采集与分析：对空气温湿度、氨气、氧气、一氧化碳等数据进行实时采集与分析；4.平台运维服务：包括系统日常维护、数据备份、安全防护、故障排查等；5.用户培训与技术支持：为操作人员提供系统操作培训和技术支持服务；</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08"/>
              <w:gridCol w:w="408"/>
              <w:gridCol w:w="1736"/>
            </w:tblGrid>
            <w:tr>
              <w:tc>
                <w:tcPr>
                  <w:tcW w:type="dxa" w:w="2552"/>
                  <w:gridSpan w:val="3"/>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服务清单</w:t>
                  </w:r>
                </w:p>
              </w:tc>
            </w:tr>
            <w:tr>
              <w:tc>
                <w:tcPr>
                  <w:tcW w:type="dxa" w:w="408"/>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序号</w:t>
                  </w:r>
                </w:p>
              </w:tc>
              <w:tc>
                <w:tcPr>
                  <w:tcW w:type="dxa" w:w="408"/>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名称</w:t>
                  </w:r>
                </w:p>
              </w:tc>
              <w:tc>
                <w:tcPr>
                  <w:tcW w:type="dxa" w:w="1736"/>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服务说明</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AI智能环境监控服务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1.对羊舍视频画面提供监控、AI识别、预警安防服务。</w:t>
                  </w:r>
                  <w:r>
                    <w:br/>
                  </w:r>
                  <w:r>
                    <w:rPr>
                      <w:rFonts w:ascii="仿宋_GB2312" w:hAnsi="仿宋_GB2312" w:cs="仿宋_GB2312" w:eastAsia="仿宋_GB2312"/>
                      <w:sz w:val="24"/>
                      <w:color w:val="000000"/>
                    </w:rPr>
                    <w:t xml:space="preserve"> 2.视频点位要求不少于90个点位，其中24个相机配置不低于4寸，200万23倍光学变倍，16倍数字变倍。其余摄像机配置不低于400万全彩摄像机。</w:t>
                  </w:r>
                  <w:r>
                    <w:br/>
                  </w:r>
                  <w:r>
                    <w:rPr>
                      <w:rFonts w:ascii="仿宋_GB2312" w:hAnsi="仿宋_GB2312" w:cs="仿宋_GB2312" w:eastAsia="仿宋_GB2312"/>
                      <w:sz w:val="24"/>
                      <w:color w:val="000000"/>
                    </w:rPr>
                    <w:t xml:space="preserve"> 3.确保视频传输流畅</w:t>
                  </w:r>
                  <w:r>
                    <w:br/>
                  </w:r>
                  <w:r>
                    <w:rPr>
                      <w:rFonts w:ascii="仿宋_GB2312" w:hAnsi="仿宋_GB2312" w:cs="仿宋_GB2312" w:eastAsia="仿宋_GB2312"/>
                      <w:sz w:val="24"/>
                      <w:color w:val="000000"/>
                    </w:rPr>
                    <w:t xml:space="preserve"> 4.包含所有的设备集成以及调试等服务。</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数据存储服务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1、提供养殖场视频画面、报警画面存储服务，</w:t>
                  </w:r>
                  <w:r>
                    <w:br/>
                  </w:r>
                  <w:r>
                    <w:rPr>
                      <w:rFonts w:ascii="仿宋_GB2312" w:hAnsi="仿宋_GB2312" w:cs="仿宋_GB2312" w:eastAsia="仿宋_GB2312"/>
                      <w:sz w:val="24"/>
                      <w:color w:val="000000"/>
                    </w:rPr>
                    <w:t xml:space="preserve"> 2、支持全路数以文搜图应用</w:t>
                  </w:r>
                  <w:r>
                    <w:br/>
                  </w:r>
                  <w:r>
                    <w:rPr>
                      <w:rFonts w:ascii="仿宋_GB2312" w:hAnsi="仿宋_GB2312" w:cs="仿宋_GB2312" w:eastAsia="仿宋_GB2312"/>
                      <w:sz w:val="24"/>
                      <w:color w:val="000000"/>
                    </w:rPr>
                    <w:t xml:space="preserve"> 3、内置图文搜索引擎，支持开放式语义检索，输入文字描述即可查找人、车、非机动车及附属物等目标；</w:t>
                  </w:r>
                  <w:r>
                    <w:br/>
                  </w:r>
                  <w:r>
                    <w:rPr>
                      <w:rFonts w:ascii="仿宋_GB2312" w:hAnsi="仿宋_GB2312" w:cs="仿宋_GB2312" w:eastAsia="仿宋_GB2312"/>
                      <w:sz w:val="24"/>
                      <w:color w:val="000000"/>
                    </w:rPr>
                    <w:t xml:space="preserve"> 4、支持搜索结果按相似度排序展示，根据搜索结果，可一键关联录像片段及以图搜图；</w:t>
                  </w:r>
                  <w:r>
                    <w:br/>
                  </w:r>
                  <w:r>
                    <w:rPr>
                      <w:rFonts w:ascii="仿宋_GB2312" w:hAnsi="仿宋_GB2312" w:cs="仿宋_GB2312" w:eastAsia="仿宋_GB2312"/>
                      <w:sz w:val="24"/>
                      <w:color w:val="000000"/>
                    </w:rPr>
                    <w:t xml:space="preserve"> 以文搜图能力：≥32路</w:t>
                  </w:r>
                  <w:r>
                    <w:br/>
                  </w:r>
                  <w:r>
                    <w:rPr>
                      <w:rFonts w:ascii="仿宋_GB2312" w:hAnsi="仿宋_GB2312" w:cs="仿宋_GB2312" w:eastAsia="仿宋_GB2312"/>
                      <w:sz w:val="24"/>
                      <w:color w:val="000000"/>
                    </w:rPr>
                    <w:t xml:space="preserve"> 以图搜图能力：≥32路</w:t>
                  </w:r>
                  <w:r>
                    <w:br/>
                  </w:r>
                  <w:r>
                    <w:rPr>
                      <w:rFonts w:ascii="仿宋_GB2312" w:hAnsi="仿宋_GB2312" w:cs="仿宋_GB2312" w:eastAsia="仿宋_GB2312"/>
                      <w:sz w:val="24"/>
                      <w:color w:val="000000"/>
                    </w:rPr>
                    <w:t xml:space="preserve"> 服务需要的存储设备不小于4台，1.5U机架式5盘位嵌入式网络硬盘录像机</w:t>
                  </w:r>
                  <w:r>
                    <w:br/>
                  </w:r>
                  <w:r>
                    <w:rPr>
                      <w:rFonts w:ascii="仿宋_GB2312" w:hAnsi="仿宋_GB2312" w:cs="仿宋_GB2312" w:eastAsia="仿宋_GB2312"/>
                      <w:sz w:val="24"/>
                      <w:color w:val="000000"/>
                    </w:rPr>
                    <w:t xml:space="preserve"> 存储总容量≥8T*16块</w:t>
                  </w:r>
                  <w:r>
                    <w:br/>
                  </w:r>
                  <w:r>
                    <w:rPr>
                      <w:rFonts w:ascii="仿宋_GB2312" w:hAnsi="仿宋_GB2312" w:cs="仿宋_GB2312" w:eastAsia="仿宋_GB2312"/>
                      <w:sz w:val="24"/>
                      <w:color w:val="000000"/>
                    </w:rPr>
                    <w:t xml:space="preserve"> 存储接口：5个SATA接口，可满配≥12TB硬盘</w:t>
                  </w:r>
                  <w:r>
                    <w:br/>
                  </w:r>
                  <w:r>
                    <w:rPr>
                      <w:rFonts w:ascii="仿宋_GB2312" w:hAnsi="仿宋_GB2312" w:cs="仿宋_GB2312" w:eastAsia="仿宋_GB2312"/>
                      <w:sz w:val="24"/>
                      <w:color w:val="000000"/>
                    </w:rPr>
                    <w:t xml:space="preserve"> 视频接口：2×HDMI，1×VGA</w:t>
                  </w:r>
                  <w:r>
                    <w:br/>
                  </w:r>
                  <w:r>
                    <w:rPr>
                      <w:rFonts w:ascii="仿宋_GB2312" w:hAnsi="仿宋_GB2312" w:cs="仿宋_GB2312" w:eastAsia="仿宋_GB2312"/>
                      <w:sz w:val="24"/>
                      <w:color w:val="000000"/>
                    </w:rPr>
                    <w:t xml:space="preserve"> 网络接口：2×RJ45 10/100/1000Mbps自适应以太网口</w:t>
                  </w:r>
                  <w:r>
                    <w:br/>
                  </w:r>
                  <w:r>
                    <w:rPr>
                      <w:rFonts w:ascii="仿宋_GB2312" w:hAnsi="仿宋_GB2312" w:cs="仿宋_GB2312" w:eastAsia="仿宋_GB2312"/>
                      <w:sz w:val="24"/>
                      <w:color w:val="000000"/>
                    </w:rPr>
                    <w:t xml:space="preserve"> 报警接口：16路报警输入，9路报警输出（其中第9路支持CTRL 12V）</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羊只检测服务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1.服务期限：12个月；</w:t>
                  </w:r>
                  <w:r>
                    <w:br/>
                  </w:r>
                  <w:r>
                    <w:rPr>
                      <w:rFonts w:ascii="仿宋_GB2312" w:hAnsi="仿宋_GB2312" w:cs="仿宋_GB2312" w:eastAsia="仿宋_GB2312"/>
                      <w:sz w:val="24"/>
                      <w:color w:val="000000"/>
                    </w:rPr>
                    <w:t xml:space="preserve"> 2.身份识别服务：为每只羊提供唯一的电子身份</w:t>
                  </w:r>
                  <w:r>
                    <w:br/>
                  </w:r>
                  <w:r>
                    <w:rPr>
                      <w:rFonts w:ascii="仿宋_GB2312" w:hAnsi="仿宋_GB2312" w:cs="仿宋_GB2312" w:eastAsia="仿宋_GB2312"/>
                      <w:sz w:val="24"/>
                      <w:color w:val="000000"/>
                    </w:rPr>
                    <w:t xml:space="preserve"> 3.数据采集服务：采集每只羊位置、体温、活动量等数据。</w:t>
                  </w:r>
                  <w:r>
                    <w:br/>
                  </w:r>
                  <w:r>
                    <w:rPr>
                      <w:rFonts w:ascii="仿宋_GB2312" w:hAnsi="仿宋_GB2312" w:cs="仿宋_GB2312" w:eastAsia="仿宋_GB2312"/>
                      <w:sz w:val="24"/>
                      <w:color w:val="000000"/>
                    </w:rPr>
                    <w:t xml:space="preserve"> 4.数据上报服务：每60分钟提供一组数据，包括羊只位置、体温、活动量；</w:t>
                  </w:r>
                  <w:r>
                    <w:br/>
                  </w:r>
                  <w:r>
                    <w:rPr>
                      <w:rFonts w:ascii="仿宋_GB2312" w:hAnsi="仿宋_GB2312" w:cs="仿宋_GB2312" w:eastAsia="仿宋_GB2312"/>
                      <w:sz w:val="24"/>
                      <w:color w:val="000000"/>
                    </w:rPr>
                    <w:t xml:space="preserve"> 5.巡检服务：检测数据上报服务是否正常，对上报异常的进行修护，确保服务正常。</w:t>
                  </w:r>
                  <w:r>
                    <w:br/>
                  </w:r>
                  <w:r>
                    <w:rPr>
                      <w:rFonts w:ascii="仿宋_GB2312" w:hAnsi="仿宋_GB2312" w:cs="仿宋_GB2312" w:eastAsia="仿宋_GB2312"/>
                      <w:sz w:val="24"/>
                      <w:color w:val="000000"/>
                    </w:rPr>
                    <w:t xml:space="preserve"> 6.服务范围：确保覆盖整个羊场，无论羊只在羊场什么位置，都可以将相关数据汇聚到养殖管理系统中。</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环境监测服务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为羊舍提供环境监测服务：</w:t>
                  </w:r>
                  <w:r>
                    <w:br/>
                  </w:r>
                  <w:r>
                    <w:rPr>
                      <w:rFonts w:ascii="仿宋_GB2312" w:hAnsi="仿宋_GB2312" w:cs="仿宋_GB2312" w:eastAsia="仿宋_GB2312"/>
                      <w:sz w:val="24"/>
                      <w:color w:val="000000"/>
                    </w:rPr>
                    <w:t xml:space="preserve"> 1、提供羊舍数据监测数据报告，数据包含羊舍温湿度、氨气、二氧化碳、一氧化碳、甲烷、氧气检测，</w:t>
                  </w:r>
                  <w:r>
                    <w:br/>
                  </w:r>
                  <w:r>
                    <w:rPr>
                      <w:rFonts w:ascii="仿宋_GB2312" w:hAnsi="仿宋_GB2312" w:cs="仿宋_GB2312" w:eastAsia="仿宋_GB2312"/>
                      <w:sz w:val="24"/>
                      <w:color w:val="000000"/>
                    </w:rPr>
                    <w:t xml:space="preserve"> 2、异常情况提醒服务：当羊舍监测数据超过一定阀值，提供数据异常提醒服务。</w:t>
                  </w:r>
                  <w:r>
                    <w:br/>
                  </w:r>
                  <w:r>
                    <w:rPr>
                      <w:rFonts w:ascii="仿宋_GB2312" w:hAnsi="仿宋_GB2312" w:cs="仿宋_GB2312" w:eastAsia="仿宋_GB2312"/>
                      <w:sz w:val="24"/>
                      <w:color w:val="000000"/>
                    </w:rPr>
                    <w:t xml:space="preserve"> 3、设备调试服务：监测环境设备运行状态，确保设备正常工作</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数据展示服务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1、实现系统平台的可视化数据显示</w:t>
                  </w:r>
                  <w:r>
                    <w:br/>
                  </w:r>
                  <w:r>
                    <w:rPr>
                      <w:rFonts w:ascii="仿宋_GB2312" w:hAnsi="仿宋_GB2312" w:cs="仿宋_GB2312" w:eastAsia="仿宋_GB2312"/>
                      <w:sz w:val="24"/>
                      <w:color w:val="000000"/>
                    </w:rPr>
                    <w:t xml:space="preserve"> 2、要求提供7*24小时服务，根据展示需要随时响应；</w:t>
                  </w:r>
                  <w:r>
                    <w:br/>
                  </w:r>
                  <w:r>
                    <w:rPr>
                      <w:rFonts w:ascii="仿宋_GB2312" w:hAnsi="仿宋_GB2312" w:cs="仿宋_GB2312" w:eastAsia="仿宋_GB2312"/>
                      <w:sz w:val="24"/>
                      <w:color w:val="000000"/>
                    </w:rPr>
                    <w:t xml:space="preserve"> 3、对展示异常的情况进行修护，确保服务正常。</w:t>
                  </w:r>
                  <w:r>
                    <w:br/>
                  </w:r>
                  <w:r>
                    <w:rPr>
                      <w:rFonts w:ascii="仿宋_GB2312" w:hAnsi="仿宋_GB2312" w:cs="仿宋_GB2312" w:eastAsia="仿宋_GB2312"/>
                      <w:sz w:val="24"/>
                      <w:color w:val="000000"/>
                    </w:rPr>
                    <w:t xml:space="preserve"> 4、提供重要接待展示保障服务，重要接待期间技术人员到现场全程提供服务；</w:t>
                  </w:r>
                  <w:r>
                    <w:br/>
                  </w:r>
                  <w:r>
                    <w:rPr>
                      <w:rFonts w:ascii="仿宋_GB2312" w:hAnsi="仿宋_GB2312" w:cs="仿宋_GB2312" w:eastAsia="仿宋_GB2312"/>
                      <w:sz w:val="24"/>
                      <w:color w:val="000000"/>
                    </w:rPr>
                    <w:t xml:space="preserve"> 5、提供技术支持和问题解决的服务，以满足客户的需求和解决可能出现的技术故障。</w:t>
                  </w:r>
                  <w:r>
                    <w:br/>
                  </w:r>
                  <w:r>
                    <w:rPr>
                      <w:rFonts w:ascii="仿宋_GB2312" w:hAnsi="仿宋_GB2312" w:cs="仿宋_GB2312" w:eastAsia="仿宋_GB2312"/>
                      <w:sz w:val="24"/>
                      <w:color w:val="000000"/>
                    </w:rPr>
                    <w:t xml:space="preserve"> 显示面积要求：显示器显示尺寸：≥75 inch</w:t>
                  </w:r>
                  <w:r>
                    <w:br/>
                  </w:r>
                  <w:r>
                    <w:rPr>
                      <w:rFonts w:ascii="仿宋_GB2312" w:hAnsi="仿宋_GB2312" w:cs="仿宋_GB2312" w:eastAsia="仿宋_GB2312"/>
                      <w:sz w:val="24"/>
                      <w:color w:val="000000"/>
                    </w:rPr>
                    <w:t xml:space="preserve"> 物理分辨率：≥3840 × 2160</w:t>
                  </w:r>
                  <w:r>
                    <w:br/>
                  </w:r>
                  <w:r>
                    <w:rPr>
                      <w:rFonts w:ascii="仿宋_GB2312" w:hAnsi="仿宋_GB2312" w:cs="仿宋_GB2312" w:eastAsia="仿宋_GB2312"/>
                      <w:sz w:val="24"/>
                      <w:color w:val="000000"/>
                    </w:rPr>
                    <w:t xml:space="preserve"> 背光源类型：D-LED</w:t>
                  </w:r>
                  <w:r>
                    <w:br/>
                  </w:r>
                  <w:r>
                    <w:rPr>
                      <w:rFonts w:ascii="仿宋_GB2312" w:hAnsi="仿宋_GB2312" w:cs="仿宋_GB2312" w:eastAsia="仿宋_GB2312"/>
                      <w:sz w:val="24"/>
                      <w:color w:val="000000"/>
                    </w:rPr>
                    <w:t xml:space="preserve"> 亮度：≥350 cd/m</w:t>
                  </w:r>
                  <w:r>
                    <w:rPr>
                      <w:rFonts w:ascii="仿宋_GB2312" w:hAnsi="仿宋_GB2312" w:cs="仿宋_GB2312" w:eastAsia="仿宋_GB2312"/>
                      <w:sz w:val="24"/>
                      <w:color w:val="000000"/>
                    </w:rPr>
                    <w:t>²</w:t>
                  </w:r>
                  <w:r>
                    <w:br/>
                  </w:r>
                  <w:r>
                    <w:rPr>
                      <w:rFonts w:ascii="仿宋_GB2312" w:hAnsi="仿宋_GB2312" w:cs="仿宋_GB2312" w:eastAsia="仿宋_GB2312"/>
                      <w:sz w:val="24"/>
                      <w:color w:val="000000"/>
                    </w:rPr>
                    <w:t xml:space="preserve"> 音视频输入接口：HDMI 1.4 × 1 , HDMI 2.0 × 1，VGA × 1 , Audio in × 1</w:t>
                  </w:r>
                  <w:r>
                    <w:br/>
                  </w:r>
                  <w:r>
                    <w:rPr>
                      <w:rFonts w:ascii="仿宋_GB2312" w:hAnsi="仿宋_GB2312" w:cs="仿宋_GB2312" w:eastAsia="仿宋_GB2312"/>
                      <w:sz w:val="24"/>
                      <w:color w:val="000000"/>
                    </w:rPr>
                    <w:t xml:space="preserve"> 音视频输出接口：Speaker OUT × 2 ( 6Ω 11W )</w:t>
                  </w:r>
                  <w:r>
                    <w:br/>
                  </w:r>
                  <w:r>
                    <w:rPr>
                      <w:rFonts w:ascii="仿宋_GB2312" w:hAnsi="仿宋_GB2312" w:cs="仿宋_GB2312" w:eastAsia="仿宋_GB2312"/>
                      <w:sz w:val="24"/>
                      <w:color w:val="000000"/>
                    </w:rPr>
                    <w:t xml:space="preserve"> 数据传输接口：USB2.0 × 1 </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智慧养殖物联网系统</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搭建基础物联网平台，支持接入各类标准的物联网设备</w:t>
                  </w:r>
                  <w:r>
                    <w:br/>
                  </w:r>
                  <w:r>
                    <w:rPr>
                      <w:rFonts w:ascii="仿宋_GB2312" w:hAnsi="仿宋_GB2312" w:cs="仿宋_GB2312" w:eastAsia="仿宋_GB2312"/>
                      <w:sz w:val="24"/>
                      <w:color w:val="000000"/>
                    </w:rPr>
                    <w:t xml:space="preserve"> 1.实现羊只管理、圈舍管理，根据耳标查询羊只信息</w:t>
                  </w:r>
                  <w:r>
                    <w:br/>
                  </w:r>
                  <w:r>
                    <w:rPr>
                      <w:rFonts w:ascii="仿宋_GB2312" w:hAnsi="仿宋_GB2312" w:cs="仿宋_GB2312" w:eastAsia="仿宋_GB2312"/>
                      <w:sz w:val="24"/>
                      <w:color w:val="000000"/>
                    </w:rPr>
                    <w:t xml:space="preserve"> 2.根据耳标数据、视频行为数据进行发情预警，提供发情羊只编号</w:t>
                  </w:r>
                  <w:r>
                    <w:br/>
                  </w:r>
                  <w:r>
                    <w:rPr>
                      <w:rFonts w:ascii="仿宋_GB2312" w:hAnsi="仿宋_GB2312" w:cs="仿宋_GB2312" w:eastAsia="仿宋_GB2312"/>
                      <w:sz w:val="24"/>
                      <w:color w:val="000000"/>
                    </w:rPr>
                    <w:t xml:space="preserve"> 3.对接养殖场内其他主要数据，如环境数据、生产数据等。</w:t>
                  </w:r>
                  <w:r>
                    <w:br/>
                  </w:r>
                  <w:r>
                    <w:rPr>
                      <w:rFonts w:ascii="仿宋_GB2312" w:hAnsi="仿宋_GB2312" w:cs="仿宋_GB2312" w:eastAsia="仿宋_GB2312"/>
                      <w:sz w:val="24"/>
                      <w:color w:val="000000"/>
                    </w:rPr>
                    <w:t xml:space="preserve"> 4.园区可视化展示、交互。包括但不限于养殖场介绍、奶羊数量、圈舍环境数据、产奶量、制成品情况、预警管理等各类信息</w:t>
                  </w:r>
                  <w:r>
                    <w:br/>
                  </w:r>
                  <w:r>
                    <w:rPr>
                      <w:rFonts w:ascii="仿宋_GB2312" w:hAnsi="仿宋_GB2312" w:cs="仿宋_GB2312" w:eastAsia="仿宋_GB2312"/>
                      <w:sz w:val="24"/>
                      <w:color w:val="000000"/>
                    </w:rPr>
                    <w:t xml:space="preserve"> 5.可创建多级账号进行多地圈舍的管理。</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云服务器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配置要求:CPU不低于8核，内存不低于16G，系统盘不低于40G，存储不低于500G，带宽不低于5M,快照服务不低于3份，服务期不低于1年</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网络接入服务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要求不低于100M专线网络接入，承载相关物联网数据传输</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符合国家相关行业标准及技术规范，按磋商文件、响应文件及澄清函、项目检查情况等综合指标进行验收。各项指标均应符合验收标准及要求。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项目实施完成后由项目实施单位提交资金拨付申请，具体时限以财政实际拨款为准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详见响应文件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是否面向中小型企业</w:t>
            </w:r>
          </w:p>
        </w:tc>
        <w:tc>
          <w:tcPr>
            <w:tcW w:type="dxa" w:w="3322"/>
          </w:tcPr>
          <w:p>
            <w:pPr>
              <w:pStyle w:val="null3"/>
            </w:pPr>
            <w:r>
              <w:rPr>
                <w:rFonts w:ascii="仿宋_GB2312" w:hAnsi="仿宋_GB2312" w:cs="仿宋_GB2312" w:eastAsia="仿宋_GB2312"/>
              </w:rPr>
              <w:t>非专门面向中小型企业</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须提供依法缴纳税收资金的良好记录（提供投标截止时间前六个月内任意一个月份的缴费凭据复印 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 缴纳凭据复印件并加盖单位公章）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提供投标保证金转账凭证及开户银行许可证复印件并加盖投标单位公章；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是否面向中小型企业</w:t>
            </w:r>
          </w:p>
        </w:tc>
        <w:tc>
          <w:tcPr>
            <w:tcW w:type="dxa" w:w="3322"/>
          </w:tcPr>
          <w:p>
            <w:pPr>
              <w:pStyle w:val="null3"/>
            </w:pPr>
            <w:r>
              <w:rPr>
                <w:rFonts w:ascii="仿宋_GB2312" w:hAnsi="仿宋_GB2312" w:cs="仿宋_GB2312" w:eastAsia="仿宋_GB2312"/>
              </w:rPr>
              <w:t>未专门面向中小型企业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服务商针对本项目的整体服务方案，内容包含：①服务目标； ②服务实施步骤计划(服务工作流程)；③服务管理规章制度；④工作重点与难点分析及对应措施。 (2)评分标准 ①完整性：方案必须全面，对评审内容中的各项要求有详细描 述； ②可实施性：切合本项目实际情况，提出切实可行、合理的方案； ③针对性：方案能够紧扣项目实 际情况，内容科学合理。 (3)赋分标准(满分12分) ①服务目标：每完全满足一个评审标准得1分，满分3分； ②服务实施步骤计划：每完全满足一个评审标准得1分，满分3分； ③服务管理规章制度：每完全满足一个评审标准得1分，满分3分。 ④工作重点与难点分析及对应措施：每完全满足一个评审标准得1分，满分3分。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 服务商针对本项目的服务保障措施，内容包含：①质量保障措施；②安全保障措施；③进度保障措施；④服务人员保障措施。 (2)评分标准 ①完整性：保障措施必须全面，对评审内容中的各项要求有详细描述； ②可实施性：切合本项目实际情况，提出切实可行、合理的保障措施； ③针对性：保障措施能够紧扣项目实际情况，内容科学合理。 (3)赋分标准(满分12分) ①质量保障措施：每完全满足一个评审标准得1分，满分3分； ②安全保障措施：每完全满足一个评审标准得1分，满分3分； ③进度保障措施：每完全满足一个评审标准得1分，满分3分； ④服务人员保障措施：每完全满足一个评审标准得1分，满分3分。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 (4分) ①拟担任本项目的项目经理具有计算机软件或信息系统相关的高级职称或资格证书，得2分。 ②拟担任本项目的项目经理具有担任相关数据资源建设或数据核查服务的项目负责人或技术负责人的经验，得2分。 评审依据：须提供项目负责人的身份证、相关证书、业绩证明材料和磋商响应文件递交前3个月内任意1个月的社保缴纳证明或社保局出具的有效证明材料。未能提供有效证明材或证明材料 不完整的不计入评分。 （2）技术负责人（2分） ①拟担任本项目的技术负责人具有高级及以上职称或资格证书，得1分。 ②拟担任本项目的技术负责人具备担任相关数据资源建设或数据核查服务的项目负责人或技术负责人的经验，提供业绩证明材料，得1分。 评审依据：须提供技术负责人的身份证、相关证书和磋商响应文件递交前3个月内任意1个月的社保缴纳证明或社保局出具的有效证明材料。未能提供有效证明材或证明材料不完整的不计入评分。 (3)项目团队(5分) 除项目经理、技术负责人外，其他项目组成员中，具有软件设计、软件测评、数据安全、信息系统等相关职称或资格证书的人数不少于3人，满足条件得3分。 在此基础上，其他项目组成员中每额外增加1名具备相关专业职称或资格证书的成员，每人加1分，最多可累计加2分。评审依据：须提供所有项目组成员的身份证、相关证书和磋商响应文件递交前3个月内任意1个月的社保缴纳证明或社保局出具的有效证明材料。未能提供有效证明材或证明材料不完整的不计入评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服务人员组织方案</w:t>
            </w:r>
          </w:p>
        </w:tc>
        <w:tc>
          <w:tcPr>
            <w:tcW w:type="dxa" w:w="2492"/>
          </w:tcPr>
          <w:p>
            <w:pPr>
              <w:pStyle w:val="null3"/>
            </w:pPr>
            <w:r>
              <w:rPr>
                <w:rFonts w:ascii="仿宋_GB2312" w:hAnsi="仿宋_GB2312" w:cs="仿宋_GB2312" w:eastAsia="仿宋_GB2312"/>
              </w:rPr>
              <w:t>(1)评审内容 服务商针对本项目的服务人员组织方案，内容包含：①岗位工作职责及管理制度；②服务人员考核制度；③服务人员培训、日常教育计划。 (2)评分标准 ①完整性：方案必须全面，对评审内容中的各项要求有详细描述 ； ②可实施性：切合本项目实际情况，提出切实可行、合理的方案； ③针对性：方案能够紧扣项目实际情况，内容科学合理，人员配置符合本项目服务人员要求。 (3)赋分标准(满分9分) ①岗位工作职责及管理制度：每完全满足一个评审标准得1分，满分3分； ②服务人员考核制度：每完全满足一个评审标准得1分，满分3分； ③服务人员培训、日常教育计划：每完全满足一个评审标准得1分，满分3分。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服务商针对本项目的应急预案，内容包含：①应急预案及保障措施；②应急人员安排。 (2)评分标准 ①完整性：方案必须全面，对评审内容中的各项要求有详细描述； ②可实施性：切合本项目实际情况，提出切实可行、合理的方案； ③针对性：方案能够紧扣项目实际情况，内容科学合理。 (3)赋分标准(满分6分) ①应急预案及保障措施：每完全满足一个评审标准得1分，满分3分； ②应急人员安排：每完全满足一个评审标准得1分，满分3分；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1）评审内容：针对本项目的故障响应方案，包括不限于：①故障识别和报告机制；②故障分析和定位；③故障修复（含具体的故障修复响应时间）；④沟通反馈机制等。（2）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耗材选型</w:t>
            </w:r>
          </w:p>
        </w:tc>
        <w:tc>
          <w:tcPr>
            <w:tcW w:type="dxa" w:w="2492"/>
          </w:tcPr>
          <w:p>
            <w:pPr>
              <w:pStyle w:val="null3"/>
            </w:pPr>
            <w:r>
              <w:rPr>
                <w:rFonts w:ascii="仿宋_GB2312" w:hAnsi="仿宋_GB2312" w:cs="仿宋_GB2312" w:eastAsia="仿宋_GB2312"/>
              </w:rPr>
              <w:t>（1）评审内容：所投耗材技术参数清楚、明确，产品的选型满足文件技术要求。提供检测报告等相关证明材料。（2）评分标准： 完全满足磋商文件及用户使用要求，证明材料清晰明确的得 8分； 完全满足磋商文件及用户使用要求，证明材料不够完善的得 5分； 基本符合磋商文件及用户使用要求，证明材料基本完整的得3分。 未提供或技术参数偏差大或未提供证明材料的得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服务商针对本项目的服务承诺，内容包含：①服务质量承诺；② 故障响应及解决时间承诺；③本地化服务承诺。 (2)评分标准 ①完整性：服务承诺必须全面，对评审内容中的各项要求有详细描述； ②可实施性：切合本项目实际情况，提出切实可行、合理的服务承诺； ③针对性：服务承诺能够紧扣项目实际情况，内容科学合理。 (3)赋分标准(满分9分) ①服务质量承诺：每完全满足一个评审标准得1分，满分3分； ②故障响应及解决时间承诺：每完全满足一个评审标准得1分，满分3分； ③本地化服务承诺：每完全满足 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（1）评审内容：针对本项目设备、设施的日常使用、维护保养提出合理化建议和方案。 （2）评分标准：提出的合理化建议切实解决使用问题，可行性高得 5 分； 提出的合理化建议能解决部分管理困难，可行性较高得3分； 提出的合理化建议能解决部分管理困难，但可行性不高得1分； 未提供或无法实施得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服务商需提供2022年1月1日以来独立承担过类似项目业绩，每个业绩计2分，最高计6分。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投标报价评标基准价=有效投标报价的最低值，有效投标报价等于基准值的得满分，报价得分=（投标基准价/最后报价）×10%×100。有效投标报价为通过初步审查的供应商的最后报价。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