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版本号：sxzs-zb26-0220260212001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富平县精神障碍社区康复服务试点项目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sxzs-zb26-02</w:t>
      </w:r>
      <w:r>
        <w:br/>
      </w:r>
      <w:r>
        <w:br/>
      </w:r>
      <w:r>
        <w:br/>
      </w:r>
    </w:p>
    <w:p>
      <w:pPr>
        <w:pStyle w:val="null3"/>
        <w:jc w:val="center"/>
        <w:outlineLvl w:val="2"/>
      </w:pPr>
      <w:r>
        <w:rPr>
          <w:rFonts w:ascii="仿宋_GB2312" w:hAnsi="仿宋_GB2312" w:cs="仿宋_GB2312" w:eastAsia="仿宋_GB2312"/>
          <w:sz w:val="28"/>
          <w:b/>
        </w:rPr>
        <w:t>富平县民政局（本级）</w:t>
      </w:r>
    </w:p>
    <w:p>
      <w:pPr>
        <w:pStyle w:val="null3"/>
        <w:jc w:val="center"/>
        <w:outlineLvl w:val="2"/>
      </w:pPr>
      <w:r>
        <w:rPr>
          <w:rFonts w:ascii="仿宋_GB2312" w:hAnsi="仿宋_GB2312" w:cs="仿宋_GB2312" w:eastAsia="仿宋_GB2312"/>
          <w:sz w:val="28"/>
          <w:b/>
        </w:rPr>
        <w:t>陕西筑实工程咨询有限公司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陕西筑实工程咨询有限公司</w:t>
      </w:r>
      <w:r>
        <w:rPr>
          <w:rFonts w:ascii="仿宋_GB2312" w:hAnsi="仿宋_GB2312" w:cs="仿宋_GB2312" w:eastAsia="仿宋_GB2312"/>
        </w:rPr>
        <w:t>（以下简称“代理机构”）受</w:t>
      </w:r>
      <w:r>
        <w:rPr>
          <w:rFonts w:ascii="仿宋_GB2312" w:hAnsi="仿宋_GB2312" w:cs="仿宋_GB2312" w:eastAsia="仿宋_GB2312"/>
        </w:rPr>
        <w:t>富平县民政局（本级）</w:t>
      </w:r>
      <w:r>
        <w:rPr>
          <w:rFonts w:ascii="仿宋_GB2312" w:hAnsi="仿宋_GB2312" w:cs="仿宋_GB2312" w:eastAsia="仿宋_GB2312"/>
        </w:rPr>
        <w:t>委托，拟对</w:t>
      </w:r>
      <w:r>
        <w:rPr>
          <w:rFonts w:ascii="仿宋_GB2312" w:hAnsi="仿宋_GB2312" w:cs="仿宋_GB2312" w:eastAsia="仿宋_GB2312"/>
        </w:rPr>
        <w:t>富平县精神障碍社区康复服务试点项目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sxzs-zb26-02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富平县精神障碍社区康复服务试点项目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包：富平县精神障碍社区康复服务试点项目通过开展试点项目，建立健全“精康融合”运行机制，畅通多部门联动和服务转介机制，规范转介服务流程，解决本县精神障碍患者在社区康复服务方面面临的实际困难，有效促进精神障碍人士的社会融入，提升精神障碍人士及其家庭的幸福感。同时，积极探索规范化程度高、专业性强、可复制的农村精神障碍社区康复服务模式。 2包：富平县精神障碍社区康复服务督导培训项目开展富平县精神障碍社区康复服务试点项目的工作人员，包含项目主管、一线社工，及其他精康服务从业人员。对精神障碍社区康复服务内容及形式、服务质量、服务对象满意度、业务培训、项目资金的使用情况等开展综合评价。 3包：富平县精神障碍社区康复服务评估项目定期对项目执行情况进行检查和指导，评估项目实施的效果，提出建设性的意见建议。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身份证或法定代表人授权书及授权代表身份证：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p>
    <w:p>
      <w:pPr>
        <w:pStyle w:val="null3"/>
      </w:pPr>
      <w:r>
        <w:rPr>
          <w:rFonts w:ascii="仿宋_GB2312" w:hAnsi="仿宋_GB2312" w:cs="仿宋_GB2312" w:eastAsia="仿宋_GB2312"/>
        </w:rPr>
        <w:t>2、信誉：投标人不得列入“中国执行信息公开网”网站被列为失信被执行人、“信用中国”网站重大税收违法失信主体及“中国政府采购网”（http://www.ccgp.gov.cn/）政府采购严重违法失信行为记录名单。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人身份证或法定代表人授权书及授权代表身份证：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p>
    <w:p>
      <w:pPr>
        <w:pStyle w:val="null3"/>
      </w:pPr>
      <w:r>
        <w:rPr>
          <w:rFonts w:ascii="仿宋_GB2312" w:hAnsi="仿宋_GB2312" w:cs="仿宋_GB2312" w:eastAsia="仿宋_GB2312"/>
        </w:rPr>
        <w:t>2、信誉：投标人不得列入“中国执行信息公开网”网站被列为失信被执行人、“信用中国”网站重大税收违法失信主体及“中国政府采购网”（http://www.ccgp.gov.cn/）政府采购严重违法失信行为记录名单。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人身份证或法定代表人授权书及授权代表身份证：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p>
    <w:p>
      <w:pPr>
        <w:pStyle w:val="null3"/>
      </w:pPr>
      <w:r>
        <w:rPr>
          <w:rFonts w:ascii="仿宋_GB2312" w:hAnsi="仿宋_GB2312" w:cs="仿宋_GB2312" w:eastAsia="仿宋_GB2312"/>
        </w:rPr>
        <w:t>2、信誉：投标人不得列入“中国执行信息公开网”网站被列为失信被执行人、“信用中国”网站重大税收违法失信主体及“中国政府采购网”（http://www.ccgp.gov.cn/）政府采购严重违法失信行为记录名单。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富平县金龙大道4号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余媛媛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0913-8203109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陕西筑实工程咨询有限公司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 111号中京坊6幢2单元34层23412号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029-85458912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p>
          <w:p>
            <w:pPr>
              <w:pStyle w:val="null3"/>
            </w:pPr>
            <w:r>
              <w:rPr>
                <w:rFonts w:ascii="仿宋_GB2312" w:hAnsi="仿宋_GB2312" w:cs="仿宋_GB2312" w:eastAsia="仿宋_GB2312"/>
              </w:rPr>
              <w:t>采购包2：240,000.00元</w:t>
            </w:r>
          </w:p>
          <w:p>
            <w:pPr>
              <w:pStyle w:val="null3"/>
            </w:pPr>
            <w:r>
              <w:rPr>
                <w:rFonts w:ascii="仿宋_GB2312" w:hAnsi="仿宋_GB2312" w:cs="仿宋_GB2312" w:eastAsia="仿宋_GB2312"/>
              </w:rPr>
              <w:t>采购包3：60,000.00元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计取代理服务费。 代理服务费账户： 银行户名：陕西筑实工程咨询有限公司 开户银行： 恒丰银行股份有限公司西安分行营业部 账 号：802910010122711607 联 系 人：张工 联系电话：029-85458912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富平县民政局（本级）</w:t>
      </w:r>
      <w:r>
        <w:rPr>
          <w:rFonts w:ascii="仿宋_GB2312" w:hAnsi="仿宋_GB2312" w:cs="仿宋_GB2312" w:eastAsia="仿宋_GB2312"/>
        </w:rPr>
        <w:t>和</w:t>
      </w:r>
      <w:r>
        <w:rPr>
          <w:rFonts w:ascii="仿宋_GB2312" w:hAnsi="仿宋_GB2312" w:cs="仿宋_GB2312" w:eastAsia="仿宋_GB2312"/>
        </w:rPr>
        <w:t>陕西筑实工程咨询有限公司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富平县民政局（本级）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陕西筑实工程咨询有限公司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陕西筑实工程咨询有限公司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符合国家行业验收标准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符合国家行业验收标准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符合国家行业验收标准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陕西筑实工程咨询有限公司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陕西筑实工程咨询有限公司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陕西筑实工程咨询有限公司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联系电话：029-85458912</w:t>
      </w:r>
    </w:p>
    <w:p>
      <w:pPr>
        <w:pStyle w:val="null3"/>
      </w:pPr>
      <w:r>
        <w:rPr>
          <w:rFonts w:ascii="仿宋_GB2312" w:hAnsi="仿宋_GB2312" w:cs="仿宋_GB2312" w:eastAsia="仿宋_GB2312"/>
        </w:rPr>
        <w:t>地址：陕西省西安市雁塔区雁翔路 111号中京坊6幢2单元34层23412号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包：富平县精神障碍社区康复服务试点项目通过开展试点项目，建立健全“精康融合”运行机制，畅通多部门联动和服务转介机制，规范转介服务流程，解决本县精神障碍患者在社区康复服务方面面临的实际困难，有效促进精神障碍人士的社会融入，提升精神障碍人士及其家庭的幸福感。同时，积极探索规范化程度高、专业性强、可复制的农村精神障碍社区康复服务模式。 2包：富平县精神障碍社区康复服务督导培训项目开展富平县精神障碍社区康复服务试点项目的工作人员，包含项目主管、一线社工，及其他精康服务从业人员。对精神障碍社区康复服务内容及形式、服务质量、服务对象满意度、业务培训、项目资金的使用情况等开展综合评价。 3包：富平县精神障碍社区康复服务评估项目定期对项目执行情况进行检查和指导，评估项目实施的效果，提出建设性的意见建议。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富平县精神障碍社区康复服务试点项目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富平县精神障碍社区康复服务督导培训项目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富平县精神障碍社区康复服务评估项目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标的名称：富平县精神障碍社区康复服务试点项目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00"/>
              </w:rPr>
              <w:t>1.工作目标</w:t>
            </w:r>
          </w:p>
          <w:p>
            <w:pPr>
              <w:pStyle w:val="null3"/>
              <w:ind w:firstLine="480"/>
              <w:jc w:val="both"/>
            </w:pPr>
            <w:r>
              <w:rPr>
                <w:rFonts w:ascii="仿宋_GB2312" w:hAnsi="仿宋_GB2312" w:cs="仿宋_GB2312" w:eastAsia="仿宋_GB2312"/>
                <w:sz w:val="24"/>
                <w:color w:val="000000"/>
              </w:rPr>
              <w:t>通过开展试点项目，建立健全</w:t>
            </w:r>
            <w:r>
              <w:rPr>
                <w:rFonts w:ascii="仿宋_GB2312" w:hAnsi="仿宋_GB2312" w:cs="仿宋_GB2312" w:eastAsia="仿宋_GB2312"/>
                <w:sz w:val="24"/>
                <w:color w:val="000000"/>
              </w:rPr>
              <w:t>“精康融合”运行机制，畅通多部门联动和服务转介机制，规范转介服务流程，解决本县精神障碍患者在社区康复服务方面面临的实际困难，有效促进精神障碍人士的社会融入，提升精神障碍人士及其家庭的幸福感。同时，积极探索规范化程度高、专业性强、可复制的农村精神障碍社区康复服务模式</w:t>
            </w:r>
            <w:r>
              <w:rPr>
                <w:rFonts w:ascii="仿宋_GB2312" w:hAnsi="仿宋_GB2312" w:cs="仿宋_GB2312" w:eastAsia="仿宋_GB2312"/>
                <w:sz w:val="24"/>
                <w:color w:val="000000"/>
              </w:rPr>
              <w:t>。</w:t>
            </w:r>
          </w:p>
          <w:p>
            <w:pPr>
              <w:pStyle w:val="null3"/>
              <w:ind w:firstLine="482"/>
              <w:jc w:val="both"/>
            </w:pPr>
            <w:r>
              <w:rPr>
                <w:rFonts w:ascii="仿宋_GB2312" w:hAnsi="仿宋_GB2312" w:cs="仿宋_GB2312" w:eastAsia="仿宋_GB2312"/>
                <w:sz w:val="24"/>
                <w:b/>
                <w:color w:val="000000"/>
              </w:rPr>
              <w:t>2.人员投入:</w:t>
            </w:r>
          </w:p>
          <w:p>
            <w:pPr>
              <w:pStyle w:val="null3"/>
              <w:ind w:firstLine="480"/>
              <w:jc w:val="both"/>
            </w:pPr>
            <w:r>
              <w:rPr>
                <w:rFonts w:ascii="仿宋_GB2312" w:hAnsi="仿宋_GB2312" w:cs="仿宋_GB2312" w:eastAsia="仿宋_GB2312"/>
                <w:sz w:val="24"/>
                <w:color w:val="000000"/>
              </w:rPr>
              <w:t>项目要求配置至少</w:t>
            </w:r>
            <w:r>
              <w:rPr>
                <w:rFonts w:ascii="仿宋_GB2312" w:hAnsi="仿宋_GB2312" w:cs="仿宋_GB2312" w:eastAsia="仿宋_GB2312"/>
                <w:sz w:val="24"/>
                <w:color w:val="000000"/>
              </w:rPr>
              <w:t>1名精神科医生担任精神医学督导</w:t>
            </w:r>
            <w:r>
              <w:rPr>
                <w:rFonts w:ascii="仿宋_GB2312" w:hAnsi="仿宋_GB2312" w:cs="仿宋_GB2312" w:eastAsia="仿宋_GB2312"/>
                <w:sz w:val="24"/>
                <w:color w:val="000000"/>
              </w:rPr>
              <w:t>、</w:t>
            </w:r>
            <w:r>
              <w:rPr>
                <w:rFonts w:ascii="仿宋_GB2312" w:hAnsi="仿宋_GB2312" w:cs="仿宋_GB2312" w:eastAsia="仿宋_GB2312"/>
                <w:sz w:val="24"/>
                <w:color w:val="000000"/>
              </w:rPr>
              <w:t>29</w:t>
            </w:r>
            <w:r>
              <w:rPr>
                <w:rFonts w:ascii="仿宋_GB2312" w:hAnsi="仿宋_GB2312" w:cs="仿宋_GB2312" w:eastAsia="仿宋_GB2312"/>
                <w:sz w:val="24"/>
                <w:color w:val="000000"/>
              </w:rPr>
              <w:t>名工作人员（</w:t>
            </w:r>
            <w:r>
              <w:rPr>
                <w:rFonts w:ascii="仿宋_GB2312" w:hAnsi="仿宋_GB2312" w:cs="仿宋_GB2312" w:eastAsia="仿宋_GB2312"/>
                <w:sz w:val="24"/>
                <w:color w:val="000000"/>
              </w:rPr>
              <w:t>1名项目主管、</w:t>
            </w:r>
            <w:r>
              <w:rPr>
                <w:rFonts w:ascii="仿宋_GB2312" w:hAnsi="仿宋_GB2312" w:cs="仿宋_GB2312" w:eastAsia="仿宋_GB2312"/>
                <w:sz w:val="24"/>
                <w:color w:val="000000"/>
              </w:rPr>
              <w:t>1名主管助理、27</w:t>
            </w:r>
            <w:r>
              <w:rPr>
                <w:rFonts w:ascii="仿宋_GB2312" w:hAnsi="仿宋_GB2312" w:cs="仿宋_GB2312" w:eastAsia="仿宋_GB2312"/>
                <w:sz w:val="24"/>
                <w:color w:val="000000"/>
              </w:rPr>
              <w:t>名一线服务人员），其中一线服务人员需包含社会工作师、康复治疗师、心理咨询师</w:t>
            </w:r>
            <w:r>
              <w:rPr>
                <w:rFonts w:ascii="仿宋_GB2312" w:hAnsi="仿宋_GB2312" w:cs="仿宋_GB2312" w:eastAsia="仿宋_GB2312"/>
                <w:sz w:val="24"/>
                <w:color w:val="000000"/>
              </w:rPr>
              <w:t>等</w:t>
            </w:r>
            <w:r>
              <w:rPr>
                <w:rFonts w:ascii="仿宋_GB2312" w:hAnsi="仿宋_GB2312" w:cs="仿宋_GB2312" w:eastAsia="仿宋_GB2312"/>
                <w:sz w:val="24"/>
                <w:color w:val="000000"/>
              </w:rPr>
              <w:t>。同时，为了保障项目正常运作，配备</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1人负责项目</w:t>
            </w:r>
            <w:r>
              <w:rPr>
                <w:rFonts w:ascii="仿宋_GB2312" w:hAnsi="仿宋_GB2312" w:cs="仿宋_GB2312" w:eastAsia="仿宋_GB2312"/>
                <w:sz w:val="24"/>
                <w:color w:val="000000"/>
              </w:rPr>
              <w:t>行政、财务等</w:t>
            </w:r>
            <w:r>
              <w:rPr>
                <w:rFonts w:ascii="仿宋_GB2312" w:hAnsi="仿宋_GB2312" w:cs="仿宋_GB2312" w:eastAsia="仿宋_GB2312"/>
                <w:sz w:val="24"/>
                <w:color w:val="000000"/>
              </w:rPr>
              <w:t>相关工作。</w:t>
            </w:r>
          </w:p>
          <w:p>
            <w:pPr>
              <w:pStyle w:val="null3"/>
              <w:ind w:firstLine="482"/>
              <w:jc w:val="both"/>
            </w:pPr>
            <w:r>
              <w:rPr>
                <w:rFonts w:ascii="仿宋_GB2312" w:hAnsi="仿宋_GB2312" w:cs="仿宋_GB2312" w:eastAsia="仿宋_GB2312"/>
                <w:sz w:val="24"/>
                <w:b/>
                <w:color w:val="000000"/>
              </w:rPr>
              <w:t>3.服务地域范围</w:t>
            </w:r>
          </w:p>
          <w:p>
            <w:pPr>
              <w:pStyle w:val="null3"/>
              <w:ind w:firstLine="480"/>
              <w:jc w:val="both"/>
            </w:pPr>
            <w:r>
              <w:rPr>
                <w:rFonts w:ascii="仿宋_GB2312" w:hAnsi="仿宋_GB2312" w:cs="仿宋_GB2312" w:eastAsia="仿宋_GB2312"/>
                <w:sz w:val="24"/>
                <w:color w:val="000000"/>
              </w:rPr>
              <w:t>城关街道、淡村镇、曹村镇、流曲镇、宫里镇、庄里镇、齐村镇、梅家坪镇、东华街道、到贤镇、刘集镇、张桥镇、老庙镇、薛镇、美原镇、留古镇</w:t>
            </w:r>
          </w:p>
          <w:p>
            <w:pPr>
              <w:pStyle w:val="null3"/>
              <w:ind w:firstLine="472"/>
              <w:jc w:val="both"/>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.主要工作内容</w:t>
            </w:r>
          </w:p>
          <w:p>
            <w:pPr>
              <w:pStyle w:val="null3"/>
              <w:ind w:firstLine="480"/>
              <w:jc w:val="both"/>
            </w:pPr>
            <w:r>
              <w:rPr>
                <w:rFonts w:ascii="仿宋_GB2312" w:hAnsi="仿宋_GB2312" w:cs="仿宋_GB2312" w:eastAsia="仿宋_GB2312"/>
                <w:sz w:val="24"/>
                <w:color w:val="000000"/>
              </w:rPr>
              <w:t>试点项目根据《精神障碍社区康复服务工作规范》为辖区内精神障碍患者提供社区康复</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服务内容包括建档服务、各类康复训练、家属支持服务及社区宣教服务等内容</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建立健全项目实施地精神障碍人士档案。</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通过入户探访，全面了解精神障碍患者疾病情况、服药情况、家庭照料情况、精神稳定状况等，从中评估患者精神稳定性以及存在的困难和需求。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从需求出发，为服务对象提供探访、个案工作、小组工作等服务，协助其稳定服药，降低复发率，提高其生活自理能力、参与社会活动的程度、就业率以及自尊感等。</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4）根据需求开展各类康复训练，含服药训练、预防复发训练、躯体管理训练、生活技能训练、社交能力训练、职业康复训练、心理康复、同伴支持等。</w:t>
            </w:r>
          </w:p>
          <w:p>
            <w:pPr>
              <w:pStyle w:val="null3"/>
              <w:ind w:firstLine="482"/>
              <w:jc w:val="both"/>
            </w:pPr>
            <w:r>
              <w:rPr>
                <w:rFonts w:ascii="仿宋_GB2312" w:hAnsi="仿宋_GB2312" w:cs="仿宋_GB2312" w:eastAsia="仿宋_GB2312"/>
                <w:sz w:val="24"/>
                <w:b/>
              </w:rPr>
              <w:t>5</w:t>
            </w:r>
            <w:r>
              <w:rPr>
                <w:rFonts w:ascii="仿宋_GB2312" w:hAnsi="仿宋_GB2312" w:cs="仿宋_GB2312" w:eastAsia="仿宋_GB2312"/>
                <w:sz w:val="24"/>
                <w:b/>
              </w:rPr>
              <w:t>.工作指标</w:t>
            </w:r>
          </w:p>
          <w:p>
            <w:pPr>
              <w:pStyle w:val="null3"/>
              <w:ind w:firstLine="482"/>
              <w:jc w:val="both"/>
            </w:pPr>
            <w:r>
              <w:rPr>
                <w:rFonts w:ascii="仿宋_GB2312" w:hAnsi="仿宋_GB2312" w:cs="仿宋_GB2312" w:eastAsia="仿宋_GB2312"/>
                <w:sz w:val="24"/>
                <w:b/>
              </w:rPr>
              <w:t>①服务指标</w:t>
            </w:r>
          </w:p>
          <w:tbl>
            <w:tblPr>
              <w:tblBorders>
                <w:top w:val="none" w:color="000000" w:sz="4"/>
                <w:left w:val="none" w:color="000000" w:sz="4"/>
                <w:bottom w:val="none" w:color="000000" w:sz="4"/>
                <w:right w:val="none" w:color="000000" w:sz="4"/>
                <w:insideH w:val="none"/>
                <w:insideV w:val="none"/>
              </w:tblBorders>
            </w:tblPr>
            <w:tblGrid>
              <w:gridCol w:w="280"/>
              <w:gridCol w:w="702"/>
              <w:gridCol w:w="702"/>
              <w:gridCol w:w="2139"/>
            </w:tblGrid>
            <w:tr>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7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服务类型</w:t>
                  </w:r>
                </w:p>
              </w:tc>
              <w:tc>
                <w:tcPr>
                  <w:tcW w:type="dxa" w:w="7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指标数量</w:t>
                  </w:r>
                </w:p>
              </w:tc>
              <w:tc>
                <w:tcPr>
                  <w:tcW w:type="dxa" w:w="2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细则</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建档服务</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≥800人</w:t>
                  </w:r>
                </w:p>
              </w:tc>
              <w:tc>
                <w:tcPr>
                  <w:tcW w:type="dxa" w:w="2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1）各街道/乡镇均应有建档对象（持证对象要全部建档）</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2）以入户探访的形式，建立一人一档，包含建档表、康复需求评估、社区康复服务同意书。</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新建档对象的评估服务</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≥3200人次</w:t>
                  </w:r>
                </w:p>
              </w:tc>
              <w:tc>
                <w:tcPr>
                  <w:tcW w:type="dxa" w:w="2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1）每个纳入社区康复服务的精神障碍患者开展每季度一次评估；</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2）评估内容包括：精神症状、生活技能、社会适应能力、社会功能缺陷评估等。</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2025年度已纳入社区康复服务的精神障碍患者（1000人）的定期回访服务</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≥4000人次</w:t>
                  </w:r>
                </w:p>
              </w:tc>
              <w:tc>
                <w:tcPr>
                  <w:tcW w:type="dxa" w:w="2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1）以入户探访的形式开展定期回访服务，动态监测服务对象的现状，及时提供康复支持；</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2）原则上每个服务对象每年4次回访服务，每次回访服务配套开展评估工作。</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新开个案服务</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≥250人,共计3000人次</w:t>
                  </w:r>
                </w:p>
              </w:tc>
              <w:tc>
                <w:tcPr>
                  <w:tcW w:type="dxa" w:w="2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1）在摸查评估的基础上，确定个案服务对象，并制定个案服务计划；</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2）全年个案服务次数不低于3000次（平均每个服务对象不低于12次/年）。</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2025年个案服务对象持续跟进服务</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≥800人次</w:t>
                  </w:r>
                </w:p>
              </w:tc>
              <w:tc>
                <w:tcPr>
                  <w:tcW w:type="dxa" w:w="2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1）针对2025年已开案的180名个案对象继续提供个案跟进服务，每个人不少于4次。</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2）个案跟进服务与季度评估服务不能重复。</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职业康复服务</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≥160人，共计1920人次</w:t>
                  </w:r>
                </w:p>
              </w:tc>
              <w:tc>
                <w:tcPr>
                  <w:tcW w:type="dxa" w:w="2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通过庇护性就业、辅助性就业、过渡性就业、竞争性就业等多种方式开展职业康复服务。</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康复资源链接</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≥600人，共计2400人次</w:t>
                  </w:r>
                </w:p>
              </w:tc>
              <w:tc>
                <w:tcPr>
                  <w:tcW w:type="dxa" w:w="2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1）康复资源含健康体检、家政服务、生活物资等。</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2）每人每季度提供1次康复资源链接。</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小组工作</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64个小组，384节小组，≥250人，≥2304人次</w:t>
                  </w:r>
                </w:p>
              </w:tc>
              <w:tc>
                <w:tcPr>
                  <w:tcW w:type="dxa" w:w="2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1）内容要求：围绕教育、成长、支持、治疗四大类型设计专业小组内容；</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原则上每个小组不少于</w:t>
                  </w:r>
                  <w:r>
                    <w:rPr>
                      <w:rFonts w:ascii="仿宋_GB2312" w:hAnsi="仿宋_GB2312" w:cs="仿宋_GB2312" w:eastAsia="仿宋_GB2312"/>
                      <w:sz w:val="24"/>
                      <w:color w:val="000000"/>
                    </w:rPr>
                    <w:t>6节，每节小组不低于6名精神障碍患者参与，若总人次不够则增加相应的小组个数与节数。</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3）每个站点每周至少开展一节小组，每月至少完成4节小组。</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主题康复服务活动</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186场，≥140人，≥1716人次</w:t>
                  </w:r>
                </w:p>
              </w:tc>
              <w:tc>
                <w:tcPr>
                  <w:tcW w:type="dxa" w:w="2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1）内容要求：可涵盖服药训练、预防复发训练、生活技能训练、社交技能训练、同伴支持、职业能力训练等；</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2）原则上每场康复活动不低于9名精神障碍患者参加，若总人次不够则增加相应的场数。</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3）每人参与不少于5次主题康复服务活动。</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家属喘息</w:t>
                  </w:r>
                  <w:r>
                    <w:rPr>
                      <w:rFonts w:ascii="仿宋_GB2312" w:hAnsi="仿宋_GB2312" w:cs="仿宋_GB2312" w:eastAsia="仿宋_GB2312"/>
                      <w:sz w:val="24"/>
                      <w:color w:val="000000"/>
                    </w:rPr>
                    <w:t>/支持活动</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200场</w:t>
                  </w:r>
                </w:p>
                <w:p>
                  <w:pPr>
                    <w:pStyle w:val="null3"/>
                    <w:jc w:val="center"/>
                  </w:pPr>
                  <w:r>
                    <w:rPr>
                      <w:rFonts w:ascii="仿宋_GB2312" w:hAnsi="仿宋_GB2312" w:cs="仿宋_GB2312" w:eastAsia="仿宋_GB2312"/>
                      <w:sz w:val="24"/>
                      <w:color w:val="000000"/>
                    </w:rPr>
                    <w:t>≥1600人次</w:t>
                  </w:r>
                </w:p>
              </w:tc>
              <w:tc>
                <w:tcPr>
                  <w:tcW w:type="dxa" w:w="2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1）内容要求：可涵盖家属教育、家属同伴支持、家属喘息等相关服务；</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2）原则上每场康复活动不低于8名精神障碍患者家属参加，若总人次不够则增加相应的场数。</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医社转介服务</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不低于全年出院人数</w:t>
                  </w:r>
                  <w:r>
                    <w:rPr>
                      <w:rFonts w:ascii="仿宋_GB2312" w:hAnsi="仿宋_GB2312" w:cs="仿宋_GB2312" w:eastAsia="仿宋_GB2312"/>
                      <w:sz w:val="24"/>
                      <w:color w:val="000000"/>
                    </w:rPr>
                    <w:t>80%</w:t>
                  </w:r>
                </w:p>
              </w:tc>
              <w:tc>
                <w:tcPr>
                  <w:tcW w:type="dxa" w:w="2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根据县精神病专科医院的全年出院率为基数，出院转介服务率不低于</w:t>
                  </w:r>
                  <w:r>
                    <w:rPr>
                      <w:rFonts w:ascii="仿宋_GB2312" w:hAnsi="仿宋_GB2312" w:cs="仿宋_GB2312" w:eastAsia="仿宋_GB2312"/>
                      <w:sz w:val="24"/>
                      <w:color w:val="000000"/>
                    </w:rPr>
                    <w:t>80%。</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医院前置康复服务</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12场</w:t>
                  </w:r>
                </w:p>
                <w:p>
                  <w:pPr>
                    <w:pStyle w:val="null3"/>
                    <w:jc w:val="center"/>
                  </w:pPr>
                  <w:r>
                    <w:rPr>
                      <w:rFonts w:ascii="仿宋_GB2312" w:hAnsi="仿宋_GB2312" w:cs="仿宋_GB2312" w:eastAsia="仿宋_GB2312"/>
                      <w:sz w:val="24"/>
                      <w:color w:val="000000"/>
                    </w:rPr>
                    <w:t>≥180人次</w:t>
                  </w:r>
                </w:p>
              </w:tc>
              <w:tc>
                <w:tcPr>
                  <w:tcW w:type="dxa" w:w="2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1）定期到医院开展前置性康复服务，主要针对近期即将出院的患者、家属开展主题性康复服务，提前建立服务关系，做好康复准备。</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2）每场主题康复服务不低于15名患者、家属参加，若总人次不够则增加相应的场数。</w:t>
                  </w:r>
                </w:p>
              </w:tc>
            </w:tr>
            <w:tr>
              <w:tc>
                <w:tcPr>
                  <w:tcW w:type="dxa" w:w="98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≥21120人次</w:t>
                  </w:r>
                </w:p>
              </w:tc>
              <w:tc>
                <w:tcPr>
                  <w:tcW w:type="dxa" w:w="2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pPr>
            <w:r>
              <w:rPr>
                <w:rFonts w:ascii="仿宋_GB2312" w:hAnsi="仿宋_GB2312" w:cs="仿宋_GB2312" w:eastAsia="仿宋_GB2312"/>
                <w:sz w:val="24"/>
                <w:b/>
                <w:color w:val="000000"/>
              </w:rPr>
              <w:t>②其他工作指标</w:t>
            </w:r>
          </w:p>
          <w:tbl>
            <w:tblPr>
              <w:tblBorders>
                <w:top w:val="none" w:color="000000" w:sz="4"/>
                <w:left w:val="none" w:color="000000" w:sz="4"/>
                <w:bottom w:val="none" w:color="000000" w:sz="4"/>
                <w:right w:val="none" w:color="000000" w:sz="4"/>
                <w:insideH w:val="none"/>
                <w:insideV w:val="none"/>
              </w:tblBorders>
            </w:tblPr>
            <w:tblGrid>
              <w:gridCol w:w="315"/>
              <w:gridCol w:w="831"/>
              <w:gridCol w:w="831"/>
              <w:gridCol w:w="1841"/>
            </w:tblGrid>
            <w:tr>
              <w:tc>
                <w:tcPr>
                  <w:tcW w:type="dxa" w:w="3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83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服务内容</w:t>
                  </w:r>
                </w:p>
              </w:tc>
              <w:tc>
                <w:tcPr>
                  <w:tcW w:type="dxa" w:w="83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指标数量</w:t>
                  </w:r>
                </w:p>
              </w:tc>
              <w:tc>
                <w:tcPr>
                  <w:tcW w:type="dxa" w:w="184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备注</w:t>
                  </w:r>
                </w:p>
              </w:tc>
            </w:tr>
            <w:tr>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8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全县多部门协调会</w:t>
                  </w:r>
                </w:p>
              </w:tc>
              <w:tc>
                <w:tcPr>
                  <w:tcW w:type="dxa" w:w="8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1场</w:t>
                  </w:r>
                </w:p>
              </w:tc>
              <w:tc>
                <w:tcPr>
                  <w:tcW w:type="dxa" w:w="18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邀请县卫健、残联、乡镇等多部门开展项目工作协调会，搭建多部门合作机制。</w:t>
                  </w:r>
                </w:p>
              </w:tc>
            </w:tr>
            <w:tr>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8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专家指导小组工作会议</w:t>
                  </w:r>
                </w:p>
              </w:tc>
              <w:tc>
                <w:tcPr>
                  <w:tcW w:type="dxa" w:w="8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4次</w:t>
                  </w:r>
                </w:p>
              </w:tc>
              <w:tc>
                <w:tcPr>
                  <w:tcW w:type="dxa" w:w="18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根据已建立的县级专家指导小组名单，统筹开展专家指导小组工作会议，原则上每季度开展一次。</w:t>
                  </w:r>
                </w:p>
              </w:tc>
            </w:tr>
            <w:tr>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p>
              </w:tc>
              <w:tc>
                <w:tcPr>
                  <w:tcW w:type="dxa" w:w="8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社区宣传与倡导</w:t>
                  </w:r>
                </w:p>
                <w:p>
                  <w:pPr>
                    <w:pStyle w:val="null3"/>
                    <w:jc w:val="center"/>
                  </w:pPr>
                  <w:r>
                    <w:rPr>
                      <w:rFonts w:ascii="仿宋_GB2312" w:hAnsi="仿宋_GB2312" w:cs="仿宋_GB2312" w:eastAsia="仿宋_GB2312"/>
                      <w:sz w:val="24"/>
                      <w:color w:val="000000"/>
                    </w:rPr>
                    <w:t>服务</w:t>
                  </w:r>
                </w:p>
              </w:tc>
              <w:tc>
                <w:tcPr>
                  <w:tcW w:type="dxa" w:w="8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24场</w:t>
                  </w:r>
                </w:p>
              </w:tc>
              <w:tc>
                <w:tcPr>
                  <w:tcW w:type="dxa" w:w="18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活动内容：为公众普及精神心理科普知识及相关政策法规宣传。</w:t>
                  </w:r>
                </w:p>
              </w:tc>
            </w:tr>
            <w:tr>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8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志愿者团队培育</w:t>
                  </w:r>
                </w:p>
              </w:tc>
              <w:tc>
                <w:tcPr>
                  <w:tcW w:type="dxa" w:w="8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≥50人</w:t>
                  </w:r>
                </w:p>
              </w:tc>
              <w:tc>
                <w:tcPr>
                  <w:tcW w:type="dxa" w:w="18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建立一支不少于</w:t>
                  </w:r>
                  <w:r>
                    <w:rPr>
                      <w:rFonts w:ascii="仿宋_GB2312" w:hAnsi="仿宋_GB2312" w:cs="仿宋_GB2312" w:eastAsia="仿宋_GB2312"/>
                      <w:sz w:val="24"/>
                      <w:color w:val="000000"/>
                    </w:rPr>
                    <w:t>50人的志愿服务团队</w:t>
                  </w:r>
                </w:p>
              </w:tc>
            </w:tr>
            <w:tr>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8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志愿服务活动</w:t>
                  </w:r>
                </w:p>
              </w:tc>
              <w:tc>
                <w:tcPr>
                  <w:tcW w:type="dxa" w:w="8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12场，至少200人次</w:t>
                  </w:r>
                </w:p>
              </w:tc>
              <w:tc>
                <w:tcPr>
                  <w:tcW w:type="dxa" w:w="18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开展有关志愿服务团队能力提升、康复志愿活动等相关主题活动</w:t>
                  </w:r>
                </w:p>
              </w:tc>
            </w:tr>
            <w:tr>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w:t>
                  </w:r>
                </w:p>
              </w:tc>
              <w:tc>
                <w:tcPr>
                  <w:tcW w:type="dxa" w:w="8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媒体报道</w:t>
                  </w:r>
                </w:p>
              </w:tc>
              <w:tc>
                <w:tcPr>
                  <w:tcW w:type="dxa" w:w="8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18篇</w:t>
                  </w:r>
                </w:p>
              </w:tc>
              <w:tc>
                <w:tcPr>
                  <w:tcW w:type="dxa" w:w="18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1）市级以上媒体报道10篇；</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2）省级以上媒体报道5篇；</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3）国家级媒体报道3篇。</w:t>
                  </w:r>
                </w:p>
              </w:tc>
            </w:tr>
            <w:tr>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7</w:t>
                  </w:r>
                </w:p>
              </w:tc>
              <w:tc>
                <w:tcPr>
                  <w:tcW w:type="dxa" w:w="8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总结</w:t>
                  </w:r>
                  <w:r>
                    <w:rPr>
                      <w:rFonts w:ascii="仿宋_GB2312" w:hAnsi="仿宋_GB2312" w:cs="仿宋_GB2312" w:eastAsia="仿宋_GB2312"/>
                      <w:sz w:val="24"/>
                      <w:color w:val="000000"/>
                    </w:rPr>
                    <w:t>报告</w:t>
                  </w:r>
                </w:p>
              </w:tc>
              <w:tc>
                <w:tcPr>
                  <w:tcW w:type="dxa" w:w="8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12篇</w:t>
                  </w:r>
                </w:p>
              </w:tc>
              <w:tc>
                <w:tcPr>
                  <w:tcW w:type="dxa" w:w="18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每月形成工作简报，全年</w:t>
                  </w:r>
                  <w:r>
                    <w:rPr>
                      <w:rFonts w:ascii="仿宋_GB2312" w:hAnsi="仿宋_GB2312" w:cs="仿宋_GB2312" w:eastAsia="仿宋_GB2312"/>
                      <w:sz w:val="24"/>
                      <w:color w:val="000000"/>
                    </w:rPr>
                    <w:t>12篇</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标的名称：富平县精神障碍社区康复服务督导培训项目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00"/>
              </w:rPr>
              <w:t>1.工作目标</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加强对精神障碍社区康复服务承接主体的技术指导，提升本土精神障碍社区康复服务机构的专业性和规范性。</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加强对精神障碍社区康复服务从业人员的督导与培训，切实提高从业人员专业素质与能力，保障精神障碍社区康复服务效果和质量。</w:t>
            </w:r>
          </w:p>
          <w:p>
            <w:pPr>
              <w:pStyle w:val="null3"/>
              <w:ind w:firstLine="482"/>
              <w:jc w:val="both"/>
            </w:pPr>
            <w:r>
              <w:rPr>
                <w:rFonts w:ascii="仿宋_GB2312" w:hAnsi="仿宋_GB2312" w:cs="仿宋_GB2312" w:eastAsia="仿宋_GB2312"/>
                <w:sz w:val="24"/>
                <w:b/>
                <w:color w:val="000000"/>
              </w:rPr>
              <w:t>2.人员投入</w:t>
            </w:r>
          </w:p>
          <w:p>
            <w:pPr>
              <w:pStyle w:val="null3"/>
              <w:ind w:firstLine="480"/>
              <w:jc w:val="both"/>
            </w:pPr>
            <w:r>
              <w:rPr>
                <w:rFonts w:ascii="仿宋_GB2312" w:hAnsi="仿宋_GB2312" w:cs="仿宋_GB2312" w:eastAsia="仿宋_GB2312"/>
                <w:sz w:val="24"/>
                <w:color w:val="000000"/>
              </w:rPr>
              <w:t>项目要求配置至少</w:t>
            </w:r>
            <w:r>
              <w:rPr>
                <w:rFonts w:ascii="仿宋_GB2312" w:hAnsi="仿宋_GB2312" w:cs="仿宋_GB2312" w:eastAsia="仿宋_GB2312"/>
                <w:sz w:val="24"/>
                <w:color w:val="000000"/>
              </w:rPr>
              <w:t>4</w:t>
            </w:r>
            <w:r>
              <w:rPr>
                <w:rFonts w:ascii="仿宋_GB2312" w:hAnsi="仿宋_GB2312" w:cs="仿宋_GB2312" w:eastAsia="仿宋_GB2312"/>
                <w:sz w:val="24"/>
                <w:color w:val="000000"/>
              </w:rPr>
              <w:t>名</w:t>
            </w:r>
            <w:r>
              <w:rPr>
                <w:rFonts w:ascii="仿宋_GB2312" w:hAnsi="仿宋_GB2312" w:cs="仿宋_GB2312" w:eastAsia="仿宋_GB2312"/>
                <w:sz w:val="24"/>
                <w:color w:val="000000"/>
              </w:rPr>
              <w:t>督导，其中实务督导</w:t>
            </w:r>
            <w:r>
              <w:rPr>
                <w:rFonts w:ascii="仿宋_GB2312" w:hAnsi="仿宋_GB2312" w:cs="仿宋_GB2312" w:eastAsia="仿宋_GB2312"/>
                <w:sz w:val="24"/>
                <w:color w:val="000000"/>
              </w:rPr>
              <w:t>3名，实务督导需具备至少5年以上精神障碍社区康复服务或督导经验，并持有社会工作职业资格证；财务督导1名，需具备社会组织财务管理经验5年以上。</w:t>
            </w:r>
          </w:p>
          <w:p>
            <w:pPr>
              <w:pStyle w:val="null3"/>
              <w:ind w:firstLine="482"/>
              <w:jc w:val="both"/>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主要工作内容</w:t>
            </w:r>
          </w:p>
          <w:p>
            <w:pPr>
              <w:pStyle w:val="null3"/>
              <w:ind w:firstLine="482"/>
              <w:jc w:val="both"/>
            </w:pPr>
            <w:r>
              <w:rPr>
                <w:rFonts w:ascii="仿宋_GB2312" w:hAnsi="仿宋_GB2312" w:cs="仿宋_GB2312" w:eastAsia="仿宋_GB2312"/>
                <w:sz w:val="24"/>
              </w:rPr>
              <w:t>采用线下</w:t>
            </w:r>
            <w:r>
              <w:rPr>
                <w:rFonts w:ascii="仿宋_GB2312" w:hAnsi="仿宋_GB2312" w:cs="仿宋_GB2312" w:eastAsia="仿宋_GB2312"/>
                <w:sz w:val="24"/>
              </w:rPr>
              <w:t>实地督导</w:t>
            </w:r>
            <w:r>
              <w:rPr>
                <w:rFonts w:ascii="仿宋_GB2312" w:hAnsi="仿宋_GB2312" w:cs="仿宋_GB2312" w:eastAsia="仿宋_GB2312"/>
                <w:sz w:val="24"/>
              </w:rPr>
              <w:t>、</w:t>
            </w:r>
            <w:r>
              <w:rPr>
                <w:rFonts w:ascii="仿宋_GB2312" w:hAnsi="仿宋_GB2312" w:cs="仿宋_GB2312" w:eastAsia="仿宋_GB2312"/>
                <w:sz w:val="24"/>
              </w:rPr>
              <w:t>线上咨询</w:t>
            </w:r>
            <w:r>
              <w:rPr>
                <w:rFonts w:ascii="仿宋_GB2312" w:hAnsi="仿宋_GB2312" w:cs="仿宋_GB2312" w:eastAsia="仿宋_GB2312"/>
                <w:sz w:val="24"/>
              </w:rPr>
              <w:t>等方式，对项目从事直接服务的人员，开展岗前培训、业务技能培训、项目运营管理、</w:t>
            </w:r>
            <w:r>
              <w:rPr>
                <w:rFonts w:ascii="仿宋_GB2312" w:hAnsi="仿宋_GB2312" w:cs="仿宋_GB2312" w:eastAsia="仿宋_GB2312"/>
                <w:sz w:val="24"/>
              </w:rPr>
              <w:t>项目品牌打造、项目成效提炼</w:t>
            </w:r>
            <w:r>
              <w:rPr>
                <w:rFonts w:ascii="仿宋_GB2312" w:hAnsi="仿宋_GB2312" w:cs="仿宋_GB2312" w:eastAsia="仿宋_GB2312"/>
                <w:sz w:val="24"/>
              </w:rPr>
              <w:t>等内容的培训。</w:t>
            </w:r>
          </w:p>
          <w:p>
            <w:pPr>
              <w:pStyle w:val="null3"/>
              <w:ind w:firstLine="482"/>
              <w:jc w:val="both"/>
            </w:pPr>
            <w:r>
              <w:rPr>
                <w:rFonts w:ascii="仿宋_GB2312" w:hAnsi="仿宋_GB2312" w:cs="仿宋_GB2312" w:eastAsia="仿宋_GB2312"/>
                <w:sz w:val="24"/>
                <w:b/>
              </w:rPr>
              <w:t>4.工作指标</w:t>
            </w:r>
          </w:p>
          <w:p>
            <w:pPr>
              <w:pStyle w:val="null3"/>
              <w:ind w:firstLine="482"/>
              <w:jc w:val="both"/>
            </w:pPr>
            <w:r>
              <w:rPr>
                <w:rFonts w:ascii="仿宋_GB2312" w:hAnsi="仿宋_GB2312" w:cs="仿宋_GB2312" w:eastAsia="仿宋_GB2312"/>
                <w:sz w:val="24"/>
              </w:rPr>
              <w:t>平均</w:t>
            </w:r>
            <w:r>
              <w:rPr>
                <w:rFonts w:ascii="仿宋_GB2312" w:hAnsi="仿宋_GB2312" w:cs="仿宋_GB2312" w:eastAsia="仿宋_GB2312"/>
                <w:sz w:val="24"/>
              </w:rPr>
              <w:t>每月</w:t>
            </w:r>
            <w:r>
              <w:rPr>
                <w:rFonts w:ascii="仿宋_GB2312" w:hAnsi="仿宋_GB2312" w:cs="仿宋_GB2312" w:eastAsia="仿宋_GB2312"/>
                <w:sz w:val="24"/>
              </w:rPr>
              <w:t>1次，</w:t>
            </w:r>
            <w:r>
              <w:rPr>
                <w:rFonts w:ascii="仿宋_GB2312" w:hAnsi="仿宋_GB2312" w:cs="仿宋_GB2312" w:eastAsia="仿宋_GB2312"/>
                <w:sz w:val="24"/>
              </w:rPr>
              <w:t>累计开展</w:t>
            </w:r>
            <w:r>
              <w:rPr>
                <w:rFonts w:ascii="仿宋_GB2312" w:hAnsi="仿宋_GB2312" w:cs="仿宋_GB2312" w:eastAsia="仿宋_GB2312"/>
                <w:sz w:val="24"/>
              </w:rPr>
              <w:t>50天督导</w:t>
            </w:r>
            <w:r>
              <w:rPr>
                <w:rFonts w:ascii="仿宋_GB2312" w:hAnsi="仿宋_GB2312" w:cs="仿宋_GB2312" w:eastAsia="仿宋_GB2312"/>
                <w:sz w:val="24"/>
              </w:rPr>
              <w:t>。</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标的名称：富平县精神障碍社区康复服务评估项目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评估</w:t>
            </w:r>
            <w:r>
              <w:rPr>
                <w:rFonts w:ascii="仿宋_GB2312" w:hAnsi="仿宋_GB2312" w:cs="仿宋_GB2312" w:eastAsia="仿宋_GB2312"/>
                <w:sz w:val="24"/>
                <w:b/>
                <w:color w:val="000000"/>
              </w:rPr>
              <w:t>目标</w:t>
            </w:r>
            <w:r>
              <w:rPr>
                <w:rFonts w:ascii="仿宋_GB2312" w:hAnsi="仿宋_GB2312" w:cs="仿宋_GB2312" w:eastAsia="仿宋_GB2312"/>
                <w:sz w:val="24"/>
                <w:b/>
                <w:color w:val="000000"/>
              </w:rPr>
              <w:t>及内容要求</w:t>
            </w:r>
          </w:p>
          <w:p>
            <w:pPr>
              <w:pStyle w:val="null3"/>
              <w:ind w:firstLine="480"/>
              <w:jc w:val="both"/>
            </w:pPr>
            <w:r>
              <w:rPr>
                <w:rFonts w:ascii="仿宋_GB2312" w:hAnsi="仿宋_GB2312" w:cs="仿宋_GB2312" w:eastAsia="仿宋_GB2312"/>
                <w:sz w:val="24"/>
                <w:color w:val="000000"/>
              </w:rPr>
              <w:t>对精神障碍社区康复服务内容及形式、服务质量、服务对象满意度、业务培训、项目资金的使用情况等开展综合评价。定期对项目执行情况进行检查和指导，评估项目实施的效果，提出建设性的意见建议</w:t>
            </w:r>
          </w:p>
          <w:p>
            <w:pPr>
              <w:pStyle w:val="null3"/>
              <w:ind w:firstLine="482"/>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评估人员要求</w:t>
            </w:r>
          </w:p>
          <w:p>
            <w:pPr>
              <w:pStyle w:val="null3"/>
              <w:ind w:firstLine="480"/>
              <w:jc w:val="both"/>
            </w:pPr>
            <w:r>
              <w:rPr>
                <w:rFonts w:ascii="仿宋_GB2312" w:hAnsi="仿宋_GB2312" w:cs="仿宋_GB2312" w:eastAsia="仿宋_GB2312"/>
                <w:sz w:val="24"/>
                <w:color w:val="000000"/>
              </w:rPr>
              <w:t>组建一支由社会工作者、精神科医师、高校老师</w:t>
            </w:r>
            <w:r>
              <w:rPr>
                <w:rFonts w:ascii="仿宋_GB2312" w:hAnsi="仿宋_GB2312" w:cs="仿宋_GB2312" w:eastAsia="仿宋_GB2312"/>
                <w:sz w:val="24"/>
                <w:color w:val="000000"/>
              </w:rPr>
              <w:t>、</w:t>
            </w:r>
            <w:r>
              <w:rPr>
                <w:rFonts w:ascii="仿宋_GB2312" w:hAnsi="仿宋_GB2312" w:cs="仿宋_GB2312" w:eastAsia="仿宋_GB2312"/>
                <w:sz w:val="24"/>
                <w:color w:val="000000"/>
              </w:rPr>
              <w:t>会计师</w:t>
            </w:r>
            <w:r>
              <w:rPr>
                <w:rFonts w:ascii="仿宋_GB2312" w:hAnsi="仿宋_GB2312" w:cs="仿宋_GB2312" w:eastAsia="仿宋_GB2312"/>
                <w:sz w:val="24"/>
                <w:color w:val="000000"/>
              </w:rPr>
              <w:t>组成的评估组，</w:t>
            </w:r>
            <w:r>
              <w:rPr>
                <w:rFonts w:ascii="仿宋_GB2312" w:hAnsi="仿宋_GB2312" w:cs="仿宋_GB2312" w:eastAsia="仿宋_GB2312"/>
                <w:sz w:val="24"/>
                <w:color w:val="000000"/>
              </w:rPr>
              <w:t>每次评估工作不少于</w:t>
            </w:r>
            <w:r>
              <w:rPr>
                <w:rFonts w:ascii="仿宋_GB2312" w:hAnsi="仿宋_GB2312" w:cs="仿宋_GB2312" w:eastAsia="仿宋_GB2312"/>
                <w:sz w:val="24"/>
                <w:color w:val="000000"/>
              </w:rPr>
              <w:t>5人。</w:t>
            </w:r>
          </w:p>
          <w:p>
            <w:pPr>
              <w:pStyle w:val="null3"/>
              <w:ind w:firstLine="482"/>
              <w:jc w:val="both"/>
            </w:pPr>
            <w:r>
              <w:rPr>
                <w:rFonts w:ascii="仿宋_GB2312" w:hAnsi="仿宋_GB2312" w:cs="仿宋_GB2312" w:eastAsia="仿宋_GB2312"/>
                <w:sz w:val="24"/>
                <w:b/>
                <w:color w:val="000000"/>
              </w:rPr>
              <w:t>3.工作指标</w:t>
            </w:r>
          </w:p>
          <w:p>
            <w:pPr>
              <w:pStyle w:val="null3"/>
              <w:ind w:firstLine="480"/>
              <w:jc w:val="both"/>
            </w:pPr>
            <w:r>
              <w:rPr>
                <w:rFonts w:ascii="仿宋_GB2312" w:hAnsi="仿宋_GB2312" w:cs="仿宋_GB2312" w:eastAsia="仿宋_GB2312"/>
                <w:sz w:val="24"/>
                <w:color w:val="000000"/>
              </w:rPr>
              <w:t>全年开展评估</w:t>
            </w:r>
            <w:r>
              <w:rPr>
                <w:rFonts w:ascii="仿宋_GB2312" w:hAnsi="仿宋_GB2312" w:cs="仿宋_GB2312" w:eastAsia="仿宋_GB2312"/>
                <w:sz w:val="24"/>
                <w:color w:val="000000"/>
              </w:rPr>
              <w:t>2</w:t>
            </w:r>
            <w:r>
              <w:rPr>
                <w:rFonts w:ascii="仿宋_GB2312" w:hAnsi="仿宋_GB2312" w:cs="仿宋_GB2312" w:eastAsia="仿宋_GB2312"/>
                <w:sz w:val="24"/>
                <w:color w:val="000000"/>
              </w:rPr>
              <w:t>次</w:t>
            </w:r>
            <w:r>
              <w:rPr>
                <w:rFonts w:ascii="仿宋_GB2312" w:hAnsi="仿宋_GB2312" w:cs="仿宋_GB2312" w:eastAsia="仿宋_GB2312"/>
                <w:sz w:val="24"/>
                <w:color w:val="000000"/>
              </w:rPr>
              <w:t>，分别是项目中期与项目末期</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b/>
              </w:rPr>
              <w:t>4.</w:t>
            </w:r>
            <w:r>
              <w:rPr>
                <w:rFonts w:ascii="仿宋_GB2312" w:hAnsi="仿宋_GB2312" w:cs="仿宋_GB2312" w:eastAsia="仿宋_GB2312"/>
                <w:sz w:val="24"/>
                <w:b/>
              </w:rPr>
              <w:t>评估</w:t>
            </w:r>
            <w:r>
              <w:rPr>
                <w:rFonts w:ascii="仿宋_GB2312" w:hAnsi="仿宋_GB2312" w:cs="仿宋_GB2312" w:eastAsia="仿宋_GB2312"/>
                <w:sz w:val="24"/>
                <w:b/>
              </w:rPr>
              <w:t>细则要求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评估</w:t>
            </w:r>
            <w:r>
              <w:rPr>
                <w:rFonts w:ascii="仿宋_GB2312" w:hAnsi="仿宋_GB2312" w:cs="仿宋_GB2312" w:eastAsia="仿宋_GB2312"/>
                <w:sz w:val="24"/>
              </w:rPr>
              <w:t>服务对象康复效果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评估项目指标完成情况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3）评估项目服务的完整度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项目管理情况</w:t>
            </w:r>
            <w:r>
              <w:rPr>
                <w:rFonts w:ascii="仿宋_GB2312" w:hAnsi="仿宋_GB2312" w:cs="仿宋_GB2312" w:eastAsia="仿宋_GB2312"/>
                <w:sz w:val="24"/>
              </w:rPr>
              <w:t>（</w:t>
            </w:r>
            <w:r>
              <w:rPr>
                <w:rFonts w:ascii="仿宋_GB2312" w:hAnsi="仿宋_GB2312" w:cs="仿宋_GB2312" w:eastAsia="仿宋_GB2312"/>
                <w:sz w:val="24"/>
              </w:rPr>
              <w:t>含人员管理、场地管理、督导与培训等</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5）评估项目资金的使用和管理情况</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要求配置至少1名精神科医生担任精神医学督导、29名工作人员（1名项目主管、1名主管助理、27名一线服务人员），其中一线服务人员需包含社会工作师、康复治疗师、心理咨询师等。同时，为了保障项目正常运作，配备至少1人负责项目行政、财务等相关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项目要求配置至少4名督导，其中实务督导3名，实务督导需具备至少5年以上精神障碍社区康复服务或督导经验，并持有社会工作职业资格证；财务督导1名，需具备社会组织财务管理经验5年以上。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组建一支由社会工作者、精神科医师、高校老师、会计师组成的评估组，每次评估工作不少于5人。</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有完备的设施设备，满足本项目要求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有完备的设施设备，满足本项目要求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有完备的设施设备，满足本项目要求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服务效率：响应采购人要求 资金使用要求:经费使用范围包含：1.站点日常运营费、房租等；2.项目人员费用（含专职和兼职）；3.开展各类居家康复指导、个案服务、志愿者服务、社区宣导、恒常服务等服务费用；4.邀请国家、省、市项目专家对项目试点启动、项目推进和难点问题解决等予以技术指导、示范项目宣传推介与工作交流差旅费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服务效率：响应采购人要求 资金使用要求:经费使用范围包含：含督导、培训老师工作经费、差旅费等。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服务效率：响应采购人要求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富平县辖区范围内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符合国家、行业验收标准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符合国家、行业验收标准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符合国家、行业验收标准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采购合同签订后20个工作日内拨付50%</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项目执行进度过半以上，拨付30%经费</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项目整体验收合格后拨付剩余20%经费，对于满足合同约定支付条件的，采购人收到供应商合格发票后10工作日内进行支付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采购合同签订后20个工作日内拨付50%</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项目执行进度过半以上，拨付30%经费</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项目整体验收合格后拨付剩余经费，对于满足合同约定支付条件的，采购人收到供应商合格发票后10工作日内进行支付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采购合同签订后20个工作日内拨付50%</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项目执行进度过半以上，拨付30%经费</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项目整体验收合格后拨付剩余经费。对于满足合同约定支付条件的，采购人收到供应商合格发票后10工作日内进行支付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2.合同签订后，如乙方擅自中途停止或解除合同，乙方应向甲方赔偿1.5倍的首次付款。 3.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2.合同签订后，如乙方擅自中途停止或解除合同，乙方应向甲方赔偿1.5倍的首次付款。 3.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2.合同签订后，如乙方擅自中途停止或解除合同，乙方应向甲方赔偿1.5倍的首次付款。 3.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供应商需在项目电子化交易系统中按要求填写《投标函》完成承诺并进行电子签章。（1）、投标人合法注册的法人或其他组织的营业执照等证明文件，自然人的身份证明； （2）、具有良好的商业信誉和健全的财务会计制度的证明材料（须提供 2024年度或2025年度经第三方审计的财务报告，至少包括三表一注，即资产负债表、利润表、现金流量表及其附注 (成立时间至提交投标文件截止时间不足一年的可提供成立后任意时段的资产负债表) ；或其投标文件递交截止时间前三个月内基本存款账户开户银行出具的资信证明及开户银行许可证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 （3）社会保障资金缴纳证明：提供截止至投标截止时间前一年内任意1个月的社会保障资金缴存单据或社保机构开具的社会保险参保缴费情况证明，依法不需要缴纳社会保障资金的单位应提供相关证明材料。 （4）税收缴纳证明：提供截止至投标截止时间前一年内任意1个月的纳税证明或完税证明，纳税证明或完税证明上应有代收机构或税务机关的公章或业务专用章。依法免税的供应商应提供相关文件证明。 （5）无重大违法记录声明：参加政府采购活动前三年内在经营活动中没有重大违法记录的书面声明。 （6）书面声明：具有履行本合同所必需的设备和专业技术能力的书面声明；</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供应商需在项目电子化交易系统中按要求上传相应证明文件并进行电子签章。（须提供 2024年度或2025年度经第三方审计的财务报告，至少包括三表一注，即资产负债表、利润表、现金流量表及其附注 (成立时间至提交投标文件截止时间不足一年的可提供成立后任意时段的资产负债表) ；或其投标文件递交截止时间前三个月内基本存款账户开户银行出具的资信证明及开户银行许可证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供应商关系承诺书.docx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供应商需在项目电子化交易系统中按要求填写《投标函》完成承诺并进行电子签章。（1）、投标人合法注册的法人或其他组织的营业执照等证明文件，自然人的身份证明； （2）、具有良好的商业信誉和健全的财务会计制度的证明材料（须提供 2024年度或2025年度经第三方审计的财务报告，至少包括三表一注，即资产负债表、利润表、现金流量表及其附注 (成立时间至提交投标文件截止时间不足一年的可提供成立后任意时段的资产负债表) ；或其投标文件递交截止时间前三个月内基本存款账户开户银行出具的资信证明及开户银行许可证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 （3）社会保障资金缴纳证明：提供截止至投标截止时间前一年内任意1个月的社会保障资金缴存单据或社保机构开具的社会保险参保缴费情况证明，依法不需要缴纳社会保障资金的单位应提供相关证明材料。 （4）税收缴纳证明：提供截止至投标截止时间前一年内任意1个月的纳税证明或完税证明，纳税证明或完税证明上应有代收机构或税务机关的公章或业务专用章。依法免税的供应商应提供相关文件证明。 （5）无重大违法记录声明：参加政府采购活动前三年内在经营活动中没有重大违法记录的书面声明。 （6）书面声明：具有履行本合同所必需的设备和专业技术能力的书面声明；</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供应商需在项目电子化交易系统中按要求上传相应证明文件并进行电子签章。（须提供 2024年度或2025年度经第三方审计的财务报告，至少包括三表一注，即资产负债表、利润表、现金流量表及其附注 (成立时间至提交投标文件截止时间不足一年的可提供成立后任意时段的资产负债表) ；或其投标文件递交截止时间前三个月内基本存款账户开户银行出具的资信证明及开户银行许可证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供应商关系承诺书.docx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供应商需在项目电子化交易系统中按要求填写《投标函》完成承诺并进行电子签章。（1）、投标人合法注册的法人或其他组织的营业执照等证明文件，自然人的身份证明； （2）、具有良好的商业信誉和健全的财务会计制度的证明材料（须提供 2024年度或2025年度经第三方审计的财务报告，至少包括三表一注，即资产负债表、利润表、现金流量表及其附注 (成立时间至提交投标文件截止时间不足一年的可提供成立后任意时段的资产负债表) ；或其投标文件递交截止时间前三个月内基本存款账户开户银行出具的资信证明及开户银行许可证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 （3）社会保障资金缴纳证明：提供截止至投标截止时间前一年内任意1个月的社会保障资金缴存单据或社保机构开具的社会保险参保缴费情况证明，依法不需要缴纳社会保障资金的单位应提供相关证明材料。 （4）税收缴纳证明：提供截止至投标截止时间前一年内任意1个月的纳税证明或完税证明，纳税证明或完税证明上应有代收机构或税务机关的公章或业务专用章。依法免税的供应商应提供相关文件证明。 （5）无重大违法记录声明：参加政府采购活动前三年内在经营活动中没有重大违法记录的书面声明。 （6）书面声明：具有履行本合同所必需的设备和专业技术能力的书面声明；</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供应商需在项目电子化交易系统中按要求上传相应证明文件并进行电子签章。（须提供 2024年度或2025年度经第三方审计的财务报告，至少包括三表一注，即资产负债表、利润表、现金流量表及其附注 (成立时间至提交投标文件截止时间不足一年的可提供成立后任意时段的资产负债表) ；或其投标文件递交截止时间前三个月内基本存款账户开户银行出具的资信证明及开户银行许可证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供应商关系承诺书.docx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法人身份证或法定代表人授权书及授权代表身份证</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投标人不得列入“中国执行信息公开网”网站被列为失信被执行人、“信用中国”网站重大税收违法失信主体及“中国政府采购网”（http://www.ccgp.gov.cn/）政府采购严重违法失信行为记录名单。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法人身份证或法定代表人授权书及授权代表身份证</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投标人不得列入“中国执行信息公开网”网站被列为失信被执行人、“信用中国”网站重大税收违法失信主体及“中国政府采购网”（http://www.ccgp.gov.cn/）政府采购严重违法失信行为记录名单。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法人身份证或法定代表人授权书及授权代表身份证</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投标人不得列入“中国执行信息公开网”网站被列为失信被执行人、“信用中国”网站重大税收违法失信主体及“中国政府采购网”（http://www.ccgp.gov.cn/）政府采购严重违法失信行为记录名单。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开标一览表 投标函 标的清单 投标文件封面 供应商资格证明文件.docx 供应商关系承诺书.docx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响应文件有效期是否满足磋商文件要求。</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开标一览表 投标函 标的清单 投标文件封面 供应商资格证明文件.docx 供应商关系承诺书.docx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响应文件有效期是否满足磋商文件要求。</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开标一览表 投标函 标的清单 投标文件封面 供应商资格证明文件.docx 供应商关系承诺书.docx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响应文件有效期是否满足磋商文件要求。</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服务方案完整性可操作性包括： 服务方案先进、方案周密、思路清晰合理、可操作性、科学性强，任务明确，得10分； 总体服务方案完整、具有可操作性、科学性，任务较为明确、得7分； 总体服务方案一般、具有一定的操作性、科学性较弱，任务不明确、得4分； 服务方案较差，欠详细、欠完善的得1分；无内容或提供的内容与本项目无关，得0分。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供应商提供详细具体的工作进度计划安排，时间节点控制合理，措施得当，得10分；供应商提供较完整的工作进度计划安排，时间节点控制较合理，具有相应的措施得7分；供应商提供了工作进度计划安排，时间节点较合理，措施简略得4分；供应商提供的工作进度安排计划欠合理，措施简要得1分；无内容或提供的内容与本项目无关，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有健全的管理制度和质量保证体系，为服务对象提供探访、个案工作、小组工作等服务方案详细，可行得10分；有健全的管理制度和质量保证体系，为服务对象提供探访、个案工作、小组工作等服务方案基本齐全的，基本可行得7分；有管理制度和质量保证体系，制度基本健全，为服务对象提供探访、个案工作、小组工作等服务方案基本可行得4分；有管理制度和质量保证体系，但管理制度有缺失，为服务对象提供探访、个案工作、小组工作等服务方案可行性不高得1分；无内容或提供的内容与本项目无关，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康复训练方案</w:t>
            </w:r>
          </w:p>
        </w:tc>
        <w:tc>
          <w:tcPr>
            <w:tcW w:type="dxa" w:w="2492"/>
          </w:tcPr>
          <w:p>
            <w:pPr>
              <w:pStyle w:val="null3"/>
            </w:pPr>
            <w:r>
              <w:rPr>
                <w:rFonts w:ascii="仿宋_GB2312" w:hAnsi="仿宋_GB2312" w:cs="仿宋_GB2312" w:eastAsia="仿宋_GB2312"/>
              </w:rPr>
              <w:t>有完善的康复训练体系，能针不同病患开展对服药训练、预防复发训练、躯体管理训练、生活技能训练、社交能力训练、职业康复训练、心理康复、同伴支持等提供可行的训练方案，方案有针对性、可操作性得10分；有完善的康复训练体系，能针不同病患开展对服药训练、预防复发训练、躯体管理训练、生活技能训练、社交能力训练、职业康复训练、心理康复、同伴支持等提供训练方案，方案基本基本可行得7分；有完善的康复训练体系，能针不同病患开展对服药训练、预防复发训练、躯体管理训练、生活技能训练、社交能力训练、职业康复训练、心理康复、同伴支持等提供训练方案，方案不完善基本可行得4分；有完善的康复训练体系，能针不同病患开展对服药训练、预防复发训练、躯体管理训练、生活技能训练、社交能力训练、职业康复训练、心理康复、同伴支持等提供训练方案，方案有缺失，可行性不高得1分；无内容或提供的内容与本项目无关，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有保密承诺，具备完善的病患信息保密制度，能很好的保护病患隐私，保密措施得当，制度完善，措施合理可行，把控严格得10分；有保密承诺，具备较为完善得病患信息保密制度，保密措施基本得当，制度清晰，措施基本合理得7分；有保密承诺，保密措施一般，有保密制度，措施一般得4分；有保密承诺，无保密制度，保密措施不完整得1分；无内容或未提供保密承诺，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提供针对本项目的人员配置方案，人数大于30人，包括项目主要负责人、精神科医生、一线服务人员等的配置，各岗位人员的数量、学历、专业、社会工作师、康复治疗师、心理咨询师等主要技术人员持证情况、工作经验等，到采购人指定地点开展服务，直到项目完全结束为止， （1）人员配置合理、职责划分明确，专业技能强、经验丰富，能有效保证各项工作的顺利进行，得10分； （2）人员配置较合理、有明确的职责划分，专业技能较强，得8分； （3）人员配置基本合理、职责划分不明确，得6分； （4）有明显缺项，得4分； （5）人数配置不足，得2分。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拟派人员一览表.docx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合理化建议完整科学、合理、可行，针对性强，满足项目需求，得5分；合理化建议较为完整科学、合理、可行，较有针对性，较满足项目需求，得3分； 合理化建议一般完整科学、合理、可行，一般有针对性，一般满足项目需求，得2分；合理化建议施欠合理，无针对性，得1分；无内容或提供的内容与本项目无关，得0分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能够完成本项目工作的服务承诺，包括不限于优惠承诺、无条件修改调整方案承诺、服务保证承诺、工作效率承诺等，服务承诺内容详尽、描述清晰得10分；有服务承诺，内容完整，描述清晰基本合理得7分；有服务承诺，内容基本完整，承诺内容一般得4分；有服务承诺，内容描述有欠缺1分；无内容或未提供保密承诺，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供应商提供类似业绩，每提供一个计5分，满分10分。（须在投标文件格式中提供合同的复印件加盖公章，否则不计分。）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满足招标文件要求且报价最低的供应商的投标价格为投标基准价。各供应商的价格分统一按照下列公式计算：投标报价得分=（投标基准价/投标报价）×价格权值。 因本项目为为非面向中小企业采购项目，给与符合条件的供应商10%的价格优惠。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服务方案完整性可操作性包括： 服务方案先进、方案周密、思路清晰合理、可操作性、科学性强，任务明确，得15分； 总体服务方案完整、具有可操作性、科学性，任务较为明确、得10分； 总体服务方案一般、具有一定的操作性、科学性较弱，任务不明确、得7分； 服务方案较差，欠详细、欠完善的得3分；无内容或提供的内容与本项目无关，得0分。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供应商提供详细具体的工作进度计划安排，时间节点控制合理，措施得当，得10分；供应商提供较完整的工作进度计划安排，时间节点控制较合理，具有相应的措施得7分；供应商提供了工作进度计划安排，时间节点较合理，措施简略得4分；供应商提供的工作进度安排计划欠合理，措施简要得1分；无内容或提供的内容与本项目无关，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技术指导方案</w:t>
            </w:r>
          </w:p>
        </w:tc>
        <w:tc>
          <w:tcPr>
            <w:tcW w:type="dxa" w:w="2492"/>
          </w:tcPr>
          <w:p>
            <w:pPr>
              <w:pStyle w:val="null3"/>
            </w:pPr>
            <w:r>
              <w:rPr>
                <w:rFonts w:ascii="仿宋_GB2312" w:hAnsi="仿宋_GB2312" w:cs="仿宋_GB2312" w:eastAsia="仿宋_GB2312"/>
              </w:rPr>
              <w:t>有健全的管理制度和管理体系，针对康复服务承接主体不同的服务从业人员有详细的技术指导方案和指导意见，制度健全方案可行得10分；有健全的管理制度和管理体系，针对康复服务承接主体不同的服务从业人员有详细的技术指导方案和指导意见，制度健全方案基本可行得7分；有管理制度和管理体系，针对康复服务承接主体不同的服务从业人员有较详细的技术指导方案和指导意见，制度、方案基本可行得4分；有管理制度和管理体系，针对康复服务承接主体不同的服务从业人员有技术指导方案和指导意见，制度、方案可行性不高得1分；无内容或提供的内容与本项目无关，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精神障碍社区康复服务从业人员提供培训计划，提高从业人员专业素质与能力，保障精神障碍社区康复服务效果和质量，培训方案内容包含①培训内容及方式②培训计划及人员安排。培训计划完整切合本项目实际情况，方案内容齐全，对招标文件中各项要求有详细描述及其他内容的补充得15分；培训计划完整、基本符合实际情况，方案内容齐全，对招标文件中各项要求有较详细描述得10分；培训计划基本完整、基本符合实际情况，方案内容基本齐全，对招标文件中各项要求有描述得5分；培训计划不完整、基本符合实际情况，方案内容有缺失，对招标文件中各项要求有描述有缺漏得3分；无内容或提供的内容与本项目无关，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提供针对本项目的人员配置方案，人数不少于4人，包括实务督导、财务督导的配置，各岗位人员的数量、学历、专业、工作经验等，到采购人指定地点开展服务，直到项目完全结束为止， （1）人员配置合理、职责划分明确，专业技能强、经验丰富，持有相应得资格证书、能有效保证各项工作的顺利进行，得10分； （2）人员配置较合理、有明确的职责划分，持有相应得资格证书、专业技能较强，得8分； （3）人员配置基本合理、职责划分不明确，持有相应得资格证书得6分； （4）有明显缺项，得4分； （5）人数配置不足，得2分。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拟派人员一览表.docx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合理化建议完整科学、合理、可行，针对性强，满足项目需求，得5分；合理化建议较为完整科学、合理、可行，较有针对性，较满足项目需求，得3分； 合理化建议一般完整科学、合理、可行，一般有针对性，一般满足项目需求，得2分；合理化建议施欠合理，无针对性，得1分；无内容或提供的内容与本项目无关，得0分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能够完成本项目工作的服务承诺，包括不限于优惠承诺、无条件修改调整方案承诺、服务保证承诺、工作效率承诺等，服务承诺内容详尽、描述清晰得10分；有服务承诺，内容完整，描述清晰基本合理得7分；有服务承诺，内容基本完整，承诺内容一般得4分；有服务承诺，内容描述有欠缺1分；无内容或未提供保密承诺，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供应商提供类似业绩，每提供一个计5分，满分10分。（须在投标文件格式中提供合同的复印件加盖公章，否则不计分。）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满足招标文件要求且报价最低的供应商的投标价格为投标基准价。各供应商的价格分统一按照下列公式计算：投标报价得分=（投标基准价/投标报价）×价格权值。 因本项目为为非面向中小企业采购项目，给与符合条件的供应商10%的价格优惠。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服务方案完整性可操作性包括： 服务方案先进、方案周密、思路清晰合理、可操作性、科学性强，任务明确，得15分； 总体服务方案完整、具有可操作性、科学性，任务较为明确、得10分； 总体服务方案一般、具有一定的操作性、科学性较弱，任务不明确、得7分； 服务方案较差，欠详细、欠完善的得3分；无内容或提供的内容与本项目无关，得0分。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供应商提供详细具体的评估工作进度计划安排，时间节点控制合理，措施得当，得10分；供应商提供较完整的评估工作进度计划安排，时间节点控制较合理，具有相应的措施得7分；供应商提供了评估工作进度计划安排，时间节点较合理，措施简略得4分；供应商提供的评估工作进度安排计划欠合理，措施简要得1分；无内容或提供的内容与本项目无关，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有健全的管理制度和质量保证体系，控制措施详细，技术措施、组织措施齐全的，可行得15分；有健全的管理制度和质量保证体系，控制措施较详细，技术措施、组织措施基本齐全的，基本可行得10分；有健全的管理制度和质量保证体系，控制措施一般详细，技术措施、组织措施一般齐全的，基本可行得7分；有健全的管理制度和质量保证体系，控制措施欠详细，技术措施、组织措施欠齐全的，可行性不高得3分；无内容或提供的内容与本项目无关，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有保密承诺，具备完善的内部保密制度，保密措施得当，制度完善，措施合理可行，把控严格得10分；有保密承诺，具备较为完善得内部保密制度，保密措施基本得当，制度清晰，措施基本合理得7分；有保密承诺，保密措施一般，有保密制度，措施一般得4分；有保密承诺，无保密制度，保密措施不完整得1分；无内容或未提供保密承诺，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提供针对本项目的人员配置方案，人数不少于5人，包括项目社会工作者、精神科医师、会计师等的配置，各岗位人员的数量、学历、专业、工作经验等，到采购人指定地点开展服务，直到项目完全结束为止， （1）人员配置合理、职责划分明确，专业技能强、经验丰富，能有效保证各项工作的顺利进行，得10分； （2）人员配置较合理、有明确的职责划分，专业技能较强，得8分； （3）人员配置基本合理、职责划分不明确，得6分； （4）有明显缺项，得4分； （5）人数配置不足，得2分。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拟派人员一览表.docx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合理化建议完整科学、合理、可行，针对性强，满足项目需求，得5分；合理化建议较为完整科学、合理、可行，较有针对性，较满足项目需求，得3分； 合理化建议一般完整科学、合理、可行，一般有针对性，一般满足项目需求，得2分；合理化建议施欠合理，无针对性，得1分；无内容或提供的内容与本项目无关，得0分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能够完成本项目工作的服务承诺，包括不限于优惠承诺、无条件修改调整方案承诺、服务保证承诺、工作效率承诺等，服务承诺内容详尽、描述清晰得10分；有服务承诺，内容完整，描述清晰基本合理得7分；有服务承诺，内容基本完整，承诺内容一般得4分；有服务承诺，内容描述有欠缺1分；无内容或未提供保密承诺，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供应商提供类似业绩，每提供一个计5分，满分10分。（须在投标文件格式中提供合同的复印件加盖公章，否则不计分。）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满足招标文件要求且报价最低的供应商的投标价格为投标基准价。各供应商的价格分统一按照下列公式计算：投标报价得分=（投标基准价/投标报价）×价格权值。 因本项目为为非面向中小企业采购项目，给与符合条件的供应商10%的价格优惠。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详见附件：供应商关系承诺书.docx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详见附件：拟派人员一览表.docx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详见附件：供应商关系承诺书.docx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详见附件：拟派人员一览表.docx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详见附件：供应商关系承诺书.docx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详见附件：拟派人员一览表.docx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