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8F7B2">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bookmarkStart w:id="0" w:name="_Toc24326"/>
      <w:r>
        <w:rPr>
          <w:rFonts w:hint="eastAsia" w:ascii="微软雅黑" w:hAnsi="微软雅黑" w:eastAsia="微软雅黑" w:cs="微软雅黑"/>
          <w:b/>
          <w:color w:val="auto"/>
          <w:sz w:val="32"/>
          <w:szCs w:val="32"/>
          <w:highlight w:val="none"/>
        </w:rPr>
        <w:t>1包：富平县精神障碍社区康复服务试点项目</w:t>
      </w:r>
    </w:p>
    <w:p w14:paraId="0EC592DF">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拟签订的合同文本</w:t>
      </w:r>
      <w:bookmarkEnd w:id="0"/>
    </w:p>
    <w:p w14:paraId="6B6E420F">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color w:val="auto"/>
          <w:highlight w:val="none"/>
        </w:rPr>
      </w:pPr>
    </w:p>
    <w:p w14:paraId="3C35D8E1">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1DB12125">
      <w:pPr>
        <w:pStyle w:val="4"/>
        <w:pageBreakBefore w:val="0"/>
        <w:kinsoku/>
        <w:overflowPunct/>
        <w:topLinePunct w:val="0"/>
        <w:bidi w:val="0"/>
        <w:spacing w:beforeAutospacing="0" w:afterAutospacing="0" w:line="440" w:lineRule="exact"/>
        <w:ind w:left="0" w:leftChars="0" w:right="0"/>
        <w:rPr>
          <w:rFonts w:hint="eastAsia" w:ascii="微软雅黑" w:hAnsi="微软雅黑" w:eastAsia="微软雅黑" w:cs="微软雅黑"/>
          <w:highlight w:val="none"/>
        </w:rPr>
      </w:pPr>
    </w:p>
    <w:p w14:paraId="36E6531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甲方：</w:t>
      </w:r>
      <w:r>
        <w:rPr>
          <w:rFonts w:hint="eastAsia" w:ascii="微软雅黑" w:hAnsi="微软雅黑" w:eastAsia="微软雅黑" w:cs="微软雅黑"/>
          <w:bCs/>
          <w:sz w:val="24"/>
          <w:lang w:val="zh-CN"/>
        </w:rPr>
        <w:t xml:space="preserve">（前款所称采购人） </w:t>
      </w:r>
    </w:p>
    <w:p w14:paraId="5D8AA37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乙方：</w:t>
      </w:r>
      <w:r>
        <w:rPr>
          <w:rFonts w:hint="eastAsia" w:ascii="微软雅黑" w:hAnsi="微软雅黑" w:eastAsia="微软雅黑" w:cs="微软雅黑"/>
          <w:bCs/>
          <w:sz w:val="24"/>
          <w:lang w:val="zh-CN"/>
        </w:rPr>
        <w:t>（前款所称中标人）</w:t>
      </w:r>
    </w:p>
    <w:p w14:paraId="20335E7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 xml:space="preserve">一、合同内容: </w:t>
      </w:r>
    </w:p>
    <w:p w14:paraId="6713F10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二、合同价款：</w:t>
      </w:r>
    </w:p>
    <w:p w14:paraId="31A22397">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1、合同总价：</w:t>
      </w:r>
      <w:r>
        <w:rPr>
          <w:rFonts w:hint="eastAsia" w:ascii="微软雅黑" w:hAnsi="微软雅黑" w:eastAsia="微软雅黑" w:cs="微软雅黑"/>
          <w:sz w:val="24"/>
          <w:u w:val="single"/>
        </w:rPr>
        <w:t xml:space="preserve">      </w:t>
      </w:r>
    </w:p>
    <w:p w14:paraId="751190F6">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2、合同总价包括：包括项目所需的站点日常运营费、房租等</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项目人员费用（含专职和兼职</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开展各类居家康复指导、个案服务、志愿者服务、社区宣导、恒常服务等服务费用</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邀请国家、省、市项目专家对项目试点启动、项目推进和难点问题解决等予以技术指导、示范项目宣传推介与工作交流差旅费等、管理费、税金等所有费用。</w:t>
      </w:r>
    </w:p>
    <w:p w14:paraId="03B730E0">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w:t>
      </w:r>
      <w:bookmarkStart w:id="1" w:name="_Hlk79684685"/>
      <w:r>
        <w:rPr>
          <w:rFonts w:hint="eastAsia" w:ascii="微软雅黑" w:hAnsi="微软雅黑" w:eastAsia="微软雅黑" w:cs="微软雅黑"/>
          <w:sz w:val="24"/>
        </w:rPr>
        <w:t>合同总价一次包死，不受市场价变化的影响</w:t>
      </w:r>
      <w:bookmarkEnd w:id="1"/>
      <w:r>
        <w:rPr>
          <w:rFonts w:hint="eastAsia" w:ascii="微软雅黑" w:hAnsi="微软雅黑" w:eastAsia="微软雅黑" w:cs="微软雅黑"/>
          <w:sz w:val="24"/>
        </w:rPr>
        <w:t>。</w:t>
      </w:r>
    </w:p>
    <w:p w14:paraId="133853A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三、合同结算：</w:t>
      </w:r>
    </w:p>
    <w:p w14:paraId="7057FF5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1、首期服务费：采购合同签订后20个工作日内拨付50%经费。</w:t>
      </w:r>
    </w:p>
    <w:p w14:paraId="1FCB617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2、第二期服务费：，项目执行进度过半以上，拨付30%经费。</w:t>
      </w:r>
    </w:p>
    <w:p w14:paraId="69899BB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3、第三期服务费：，项目整体验收合格后拨付剩余20%经费。</w:t>
      </w:r>
    </w:p>
    <w:p w14:paraId="78E49FA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甲方每次付款前，乙方应向甲方开具合法有效的专用发票，对于满足合同约定支付条件的，采购人收到供应商合格发票后10工作日内进行支付。</w:t>
      </w:r>
    </w:p>
    <w:p w14:paraId="76D9B9C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四、服务期限</w:t>
      </w:r>
    </w:p>
    <w:p w14:paraId="66467D23">
      <w:pPr>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一年。</w:t>
      </w:r>
    </w:p>
    <w:p w14:paraId="1934362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五、工作内容</w:t>
      </w:r>
    </w:p>
    <w:p w14:paraId="0A560E70">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通过开展试点项目，建立健全“精康融合”运行机制，畅通多部门联动和服务转介机制，规范转介服务流程，解决本县精神障碍患者在社区康复服务方面面临的实际困难，有效促进精神障碍人士的社会融入，提升精神障碍人士及其家庭的幸福感。同时，积极探索规范化程度高、专业性强、可复制的农村精神障碍社区康复服务模式</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0A90E81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六、甲方的权利与义务</w:t>
      </w:r>
    </w:p>
    <w:p w14:paraId="0F34E20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1、甲方有权对合同规定范围内乙方的服务行为进行监督和检查，拥有监管权。有权核对乙方提供服务所配备的人员数量。对甲方认为不合理的部分有权下达整改通知书，并要求乙方限期整改。</w:t>
      </w:r>
    </w:p>
    <w:p w14:paraId="1CE61C5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2、甲方有权负责检查监督乙方管理工作的实施及制度的执行情况。</w:t>
      </w:r>
    </w:p>
    <w:p w14:paraId="6BF9708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3、甲方应根据本合同规定，按时向乙方支付应付服务费用。</w:t>
      </w:r>
    </w:p>
    <w:p w14:paraId="48671C1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4、国家法律、法规所规定由甲方承担的其它责任。</w:t>
      </w:r>
    </w:p>
    <w:p w14:paraId="4310406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七、乙方的权利与义务</w:t>
      </w:r>
    </w:p>
    <w:p w14:paraId="0972482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1、对本合同规定的委托服务范围内的项目享有管理权及服务义务。</w:t>
      </w:r>
    </w:p>
    <w:p w14:paraId="5CD1B8B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2、根据本合同的规定向甲方收取相关服务费用，并有权在本项目管理范围内管理及合理使用。</w:t>
      </w:r>
    </w:p>
    <w:p w14:paraId="7764BB9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3、乙方应及时向甲方通告本项目服务范围内有关服务的重大事项，及时配合处理各种突发事件。</w:t>
      </w:r>
    </w:p>
    <w:p w14:paraId="2D6A325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4、乙方接受项目行业管理部门及政府有关部门的指导，接受甲方的监督。</w:t>
      </w:r>
    </w:p>
    <w:p w14:paraId="750E1B2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5、国家法律、法规所规定由乙方承担的其它责任。</w:t>
      </w:r>
    </w:p>
    <w:p w14:paraId="5FDC6D7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八、验收</w:t>
      </w:r>
    </w:p>
    <w:p w14:paraId="46F517A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rPr>
      </w:pPr>
      <w:r>
        <w:rPr>
          <w:rFonts w:hint="eastAsia" w:ascii="微软雅黑" w:hAnsi="微软雅黑" w:eastAsia="微软雅黑" w:cs="微软雅黑"/>
          <w:sz w:val="24"/>
        </w:rPr>
        <w:t>采购人组织验收评估，依据</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通知书、合同文件及国家相关规范及标准进行验收。</w:t>
      </w:r>
    </w:p>
    <w:p w14:paraId="219FA48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九、违约责任及协议的解除</w:t>
      </w:r>
    </w:p>
    <w:p w14:paraId="531F8B5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1、甲乙双方必须遵守本合同并执行合同中的各项规定，保证本合同的正常履行。</w:t>
      </w:r>
    </w:p>
    <w:p w14:paraId="7970D6E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因乙方在履行合同中遗留或造成隐患及瑕疵和因乙方工作人员在履行职务过程中的疏忽、失职、过错等故意或者过失原因给甲方造成损失或侵害，包括但不限于甲方本身的财产损失、由此而导致的甲方对任何第三方的法律责任等，包括解决纷争律师费用及相关费用，乙方对此均应承担全部的赔偿责任。</w:t>
      </w:r>
    </w:p>
    <w:p w14:paraId="545B4A7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十、争议解决方式</w:t>
      </w:r>
    </w:p>
    <w:p w14:paraId="5B142AA1">
      <w:pPr>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甲、乙双方在协议履行过程中发生争议的，应及时协商解决。</w:t>
      </w:r>
    </w:p>
    <w:p w14:paraId="3D5FE11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十一、其他</w:t>
      </w:r>
    </w:p>
    <w:p w14:paraId="6B432ABF">
      <w:pPr>
        <w:spacing w:line="4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在合同有效期内，任何一方因不可抗力事件导致不能履行合同，则合同履行期可延长，其延长期与不可抗力影响期相同，本合同履行地为甲方所在地。</w:t>
      </w:r>
    </w:p>
    <w:p w14:paraId="5619668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十二、合同组成</w:t>
      </w:r>
    </w:p>
    <w:p w14:paraId="103E3588">
      <w:pPr>
        <w:adjustRightInd w:val="0"/>
        <w:snapToGrid w:val="0"/>
        <w:spacing w:line="560" w:lineRule="exact"/>
        <w:ind w:firstLine="480" w:firstLineChars="200"/>
        <w:rPr>
          <w:rFonts w:hint="eastAsia" w:ascii="微软雅黑" w:hAnsi="微软雅黑" w:eastAsia="微软雅黑" w:cs="微软雅黑"/>
          <w:sz w:val="24"/>
        </w:rPr>
      </w:pPr>
      <w:bookmarkStart w:id="2" w:name="_Hlk87194136"/>
      <w:r>
        <w:rPr>
          <w:rFonts w:hint="eastAsia" w:ascii="微软雅黑" w:hAnsi="微软雅黑" w:eastAsia="微软雅黑" w:cs="微软雅黑"/>
          <w:sz w:val="24"/>
        </w:rPr>
        <w:t>1、</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w:t>
      </w:r>
    </w:p>
    <w:p w14:paraId="53566644">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2、合同文件</w:t>
      </w:r>
    </w:p>
    <w:p w14:paraId="20AB0361">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p>
    <w:p w14:paraId="1D229147">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4、国家相关规范及标准</w:t>
      </w:r>
    </w:p>
    <w:p w14:paraId="03B4B3E0">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5、服务标准</w:t>
      </w:r>
    </w:p>
    <w:p w14:paraId="61246D2E">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6、</w:t>
      </w:r>
      <w:r>
        <w:rPr>
          <w:rFonts w:hint="eastAsia" w:ascii="微软雅黑" w:hAnsi="微软雅黑" w:eastAsia="微软雅黑" w:cs="微软雅黑"/>
          <w:sz w:val="24"/>
          <w:lang w:eastAsia="zh-CN"/>
        </w:rPr>
        <w:t>招标文件</w:t>
      </w:r>
    </w:p>
    <w:p w14:paraId="7D0C8383">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7、包括</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采购内容及要求</w:t>
      </w:r>
    </w:p>
    <w:bookmarkEnd w:id="2"/>
    <w:p w14:paraId="11B5B9E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十三、合同生效及其它</w:t>
      </w:r>
    </w:p>
    <w:p w14:paraId="0F854ADB">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1、合同未尽事宜、由甲、乙双方协商，作为合同补充，与原合同具有同等法律效力。</w:t>
      </w:r>
    </w:p>
    <w:p w14:paraId="6FFB79CE">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2、本合同正本一式</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份，甲方、乙方双方分别执</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备案</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p>
    <w:p w14:paraId="76449261">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3、合同经甲乙双方盖章、签字后生效，合同签订地点为</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w:t>
      </w:r>
    </w:p>
    <w:p w14:paraId="6F19AA74">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4、生效时间：   年  月  日</w:t>
      </w:r>
    </w:p>
    <w:p w14:paraId="2555E46D">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p>
    <w:p w14:paraId="0215D38A">
      <w:pPr>
        <w:pStyle w:val="6"/>
        <w:rPr>
          <w:rFonts w:hint="eastAsia" w:ascii="微软雅黑" w:hAnsi="微软雅黑" w:eastAsia="微软雅黑" w:cs="微软雅黑"/>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0C461D3D">
        <w:tblPrEx>
          <w:tblCellMar>
            <w:top w:w="0" w:type="dxa"/>
            <w:left w:w="108" w:type="dxa"/>
            <w:bottom w:w="0" w:type="dxa"/>
            <w:right w:w="108" w:type="dxa"/>
          </w:tblCellMar>
        </w:tblPrEx>
        <w:trPr>
          <w:jc w:val="center"/>
        </w:trPr>
        <w:tc>
          <w:tcPr>
            <w:tcW w:w="4643" w:type="dxa"/>
            <w:noWrap w:val="0"/>
            <w:vAlign w:val="top"/>
          </w:tcPr>
          <w:p w14:paraId="29E660B4">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甲方名称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23459BC0">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3AF193D1">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54FDD638">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7534DE24">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27C7402F">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6266EAD0">
            <w:pPr>
              <w:pStyle w:val="10"/>
              <w:rPr>
                <w:rFonts w:hint="eastAsia" w:ascii="微软雅黑" w:hAnsi="微软雅黑" w:eastAsia="微软雅黑" w:cs="微软雅黑"/>
              </w:rPr>
            </w:pPr>
          </w:p>
          <w:p w14:paraId="6D6BDC68">
            <w:pPr>
              <w:pStyle w:val="10"/>
              <w:rPr>
                <w:rFonts w:hint="eastAsia" w:ascii="微软雅黑" w:hAnsi="微软雅黑" w:eastAsia="微软雅黑" w:cs="微软雅黑"/>
              </w:rPr>
            </w:pPr>
          </w:p>
        </w:tc>
        <w:tc>
          <w:tcPr>
            <w:tcW w:w="4643" w:type="dxa"/>
            <w:noWrap w:val="0"/>
            <w:vAlign w:val="top"/>
          </w:tcPr>
          <w:p w14:paraId="38482C85">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乙方名称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289A4F77">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641A597C">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0CBE3154">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59A01F5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0942DDCC">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26003A5F">
            <w:pPr>
              <w:pStyle w:val="10"/>
              <w:rPr>
                <w:rFonts w:hint="eastAsia" w:ascii="微软雅黑" w:hAnsi="微软雅黑" w:eastAsia="微软雅黑" w:cs="微软雅黑"/>
              </w:rPr>
            </w:pPr>
          </w:p>
          <w:p w14:paraId="7E52EFA6">
            <w:pPr>
              <w:pStyle w:val="10"/>
              <w:rPr>
                <w:rFonts w:hint="eastAsia" w:ascii="微软雅黑" w:hAnsi="微软雅黑" w:eastAsia="微软雅黑" w:cs="微软雅黑"/>
              </w:rPr>
            </w:pPr>
          </w:p>
        </w:tc>
      </w:tr>
    </w:tbl>
    <w:p w14:paraId="7442F6BB">
      <w:pPr>
        <w:pageBreakBefore w:val="0"/>
        <w:kinsoku/>
        <w:overflowPunct/>
        <w:topLinePunct w:val="0"/>
        <w:bidi w:val="0"/>
        <w:spacing w:beforeAutospacing="0" w:afterAutospacing="0" w:line="440" w:lineRule="exact"/>
        <w:ind w:left="0" w:leftChars="0" w:right="0" w:firstLine="2561" w:firstLineChars="800"/>
        <w:rPr>
          <w:rFonts w:hint="eastAsia" w:ascii="微软雅黑" w:hAnsi="微软雅黑" w:eastAsia="微软雅黑" w:cs="微软雅黑"/>
          <w:b/>
          <w:color w:val="auto"/>
          <w:sz w:val="32"/>
          <w:szCs w:val="32"/>
          <w:highlight w:val="none"/>
        </w:rPr>
      </w:pPr>
    </w:p>
    <w:p w14:paraId="0B610CA2">
      <w:pPr>
        <w:pStyle w:val="6"/>
        <w:rPr>
          <w:rFonts w:hint="eastAsia" w:ascii="微软雅黑" w:hAnsi="微软雅黑" w:eastAsia="微软雅黑" w:cs="微软雅黑"/>
          <w:b/>
          <w:color w:val="auto"/>
          <w:sz w:val="32"/>
          <w:szCs w:val="32"/>
          <w:highlight w:val="none"/>
        </w:rPr>
      </w:pPr>
    </w:p>
    <w:p w14:paraId="74694B36"/>
    <w:p w14:paraId="02F3E92B">
      <w:r>
        <w:br w:type="page"/>
      </w:r>
    </w:p>
    <w:p w14:paraId="15EB9A69">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2包：富平县精神障碍社区康复服务督导培训项目</w:t>
      </w:r>
    </w:p>
    <w:p w14:paraId="41862EBD">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拟签订的合同文本</w:t>
      </w:r>
    </w:p>
    <w:p w14:paraId="0C23C5DD">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color w:val="auto"/>
          <w:highlight w:val="none"/>
        </w:rPr>
      </w:pPr>
    </w:p>
    <w:p w14:paraId="3BA82D7A">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1DC2EB76">
      <w:pPr>
        <w:pStyle w:val="4"/>
        <w:pageBreakBefore w:val="0"/>
        <w:kinsoku/>
        <w:overflowPunct/>
        <w:topLinePunct w:val="0"/>
        <w:bidi w:val="0"/>
        <w:spacing w:beforeAutospacing="0" w:afterAutospacing="0" w:line="440" w:lineRule="exact"/>
        <w:ind w:left="0" w:leftChars="0" w:right="0"/>
        <w:rPr>
          <w:rFonts w:hint="eastAsia" w:ascii="微软雅黑" w:hAnsi="微软雅黑" w:eastAsia="微软雅黑" w:cs="微软雅黑"/>
          <w:highlight w:val="none"/>
        </w:rPr>
      </w:pPr>
    </w:p>
    <w:p w14:paraId="5B8C71B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甲方：</w:t>
      </w:r>
      <w:r>
        <w:rPr>
          <w:rFonts w:hint="eastAsia" w:ascii="微软雅黑" w:hAnsi="微软雅黑" w:eastAsia="微软雅黑" w:cs="微软雅黑"/>
          <w:bCs/>
          <w:sz w:val="24"/>
          <w:lang w:val="zh-CN"/>
        </w:rPr>
        <w:t xml:space="preserve">（前款所称采购人） </w:t>
      </w:r>
    </w:p>
    <w:p w14:paraId="7E084E5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乙方：</w:t>
      </w:r>
      <w:r>
        <w:rPr>
          <w:rFonts w:hint="eastAsia" w:ascii="微软雅黑" w:hAnsi="微软雅黑" w:eastAsia="微软雅黑" w:cs="微软雅黑"/>
          <w:bCs/>
          <w:sz w:val="24"/>
          <w:lang w:val="zh-CN"/>
        </w:rPr>
        <w:t>（前款所称中标人）</w:t>
      </w:r>
    </w:p>
    <w:p w14:paraId="434E17D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 xml:space="preserve">一、合同内容: </w:t>
      </w:r>
    </w:p>
    <w:p w14:paraId="33EC61F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二、合同价款：</w:t>
      </w:r>
    </w:p>
    <w:p w14:paraId="40FEDB1A">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1、合同总价：</w:t>
      </w:r>
      <w:r>
        <w:rPr>
          <w:rFonts w:hint="eastAsia" w:ascii="微软雅黑" w:hAnsi="微软雅黑" w:eastAsia="微软雅黑" w:cs="微软雅黑"/>
          <w:sz w:val="24"/>
          <w:u w:val="single"/>
        </w:rPr>
        <w:t xml:space="preserve">      </w:t>
      </w:r>
    </w:p>
    <w:p w14:paraId="57189C18">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2、合同总价包括：包括项目所需的督导</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培训费、差旅费、服务费、管理费、税金等所有费用。</w:t>
      </w:r>
    </w:p>
    <w:p w14:paraId="1A178876">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3、合同总价一次包死，不受市场价变化的影响。</w:t>
      </w:r>
    </w:p>
    <w:p w14:paraId="647DE70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三、合同结算：</w:t>
      </w:r>
    </w:p>
    <w:p w14:paraId="0061ABE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1、首期服务费：采购合同签订后20个工作日内拨付50%经费。</w:t>
      </w:r>
    </w:p>
    <w:p w14:paraId="601040D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2、第二期服务费：，项目执行进度过半以上，拨付30%经费。</w:t>
      </w:r>
    </w:p>
    <w:p w14:paraId="22DAB1F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3、第三期服务费：，项目整体验收合格后拨付剩余20%经费。</w:t>
      </w:r>
    </w:p>
    <w:p w14:paraId="5876745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甲方每次付款前，乙方应向甲方开具合法有效的专用发票，对于满足合同约定支付条件的，采购人收到供应商合格发票后10工作日内进行支付。</w:t>
      </w:r>
    </w:p>
    <w:p w14:paraId="3745F23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四、服务期限</w:t>
      </w:r>
    </w:p>
    <w:p w14:paraId="2165E147">
      <w:pPr>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一年。</w:t>
      </w:r>
    </w:p>
    <w:p w14:paraId="5EBFCE3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五、工作内容</w:t>
      </w:r>
    </w:p>
    <w:p w14:paraId="1431AF0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加强对精神障碍社区康复服务承接主体的技术指导，提升本土精神障碍社区康复服务机构的专业性和规范性。（2）加强对精神障碍社区康复服务从业人员的督导与培训，切实提高从业人员专业素质与能力，保障精神障碍社区康复服务效果和质量。</w:t>
      </w:r>
    </w:p>
    <w:p w14:paraId="10C4BEA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六、甲方的权利与义务</w:t>
      </w:r>
    </w:p>
    <w:p w14:paraId="3ACE80B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1、甲方有权对合同规定范围内乙方的服务行为进行监督和检查，拥有监管权。有权核对乙方提供服务所配备的人员数量。对甲方认为不合理的部分有权下达整改通知书，并要求乙方限期整改。</w:t>
      </w:r>
    </w:p>
    <w:p w14:paraId="262F57A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2、甲方有权负责检查监督乙方管理工作的实施及制度的执行情况。</w:t>
      </w:r>
    </w:p>
    <w:p w14:paraId="7AA49DD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3、甲方应根据本合同规定，按时向乙方支付应付服务费用。</w:t>
      </w:r>
    </w:p>
    <w:p w14:paraId="56E485D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4、国家法律、法规所规定由甲方承担的其它责任。</w:t>
      </w:r>
    </w:p>
    <w:p w14:paraId="2C1639D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七、乙方的权利与义务</w:t>
      </w:r>
    </w:p>
    <w:p w14:paraId="19C8474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1、对本合同规定的委托服务范围内的项目享有管理权及服务义务。</w:t>
      </w:r>
    </w:p>
    <w:p w14:paraId="5093872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2、根据本合同的规定向甲方收取相关服务费用，并有权在本项目管理范围内管理及合理使用。</w:t>
      </w:r>
    </w:p>
    <w:p w14:paraId="37977C7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3、乙方应及时向甲方通告本项目服务范围内有关服务的重大事项，及时配合处理各种突发事件。</w:t>
      </w:r>
    </w:p>
    <w:p w14:paraId="5264CE75">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4、乙方接受项目行业管理部门及政府有关部门的指导，接受甲方的监督。</w:t>
      </w:r>
    </w:p>
    <w:p w14:paraId="64A781F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5、国家法律、法规所规定由乙方承担的其它责任。</w:t>
      </w:r>
    </w:p>
    <w:p w14:paraId="285A86A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八、验收</w:t>
      </w:r>
    </w:p>
    <w:p w14:paraId="10C72C5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rPr>
      </w:pPr>
      <w:r>
        <w:rPr>
          <w:rFonts w:hint="eastAsia" w:ascii="微软雅黑" w:hAnsi="微软雅黑" w:eastAsia="微软雅黑" w:cs="微软雅黑"/>
          <w:sz w:val="24"/>
        </w:rPr>
        <w:t>采购人组织验收评估，依据</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通知书、合同文件及国家相关规范及标准进行验收。</w:t>
      </w:r>
    </w:p>
    <w:p w14:paraId="1B87E94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九、违约责任及协议的解除</w:t>
      </w:r>
    </w:p>
    <w:p w14:paraId="5A5D5660">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1、甲乙双方必须遵守本合同并执行合同中的各项规定，保证本合同的正常履行。</w:t>
      </w:r>
    </w:p>
    <w:p w14:paraId="7AF05FA4">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因乙方在履行合同中遗留或造成隐患及瑕疵和因乙方工作人员在履行职务过程中的疏忽、失职、过错等故意或者过失原因给甲方造成损失或侵害，包括但不限于甲方本身的财产损失、由此而导致的甲方对任何第三方的法律责任等，包括解决纷争律师费用及相关费用，乙方对此均应承担全部的赔偿责任。</w:t>
      </w:r>
    </w:p>
    <w:p w14:paraId="37E2D65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十、争议解决方式</w:t>
      </w:r>
    </w:p>
    <w:p w14:paraId="300CEBE9">
      <w:pPr>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甲、乙双方在协议履行过程中发生争议的，应及时协商解决。</w:t>
      </w:r>
    </w:p>
    <w:p w14:paraId="04A1ED0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十一、其他</w:t>
      </w:r>
    </w:p>
    <w:p w14:paraId="6651F8F0">
      <w:pPr>
        <w:spacing w:line="4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在合同有效期内，任何一方因不可抗力事件导致不能履行合同，则合同履行期可延长，其延长期与不可抗力影响期相同，本合同履行地为甲方所在地。</w:t>
      </w:r>
    </w:p>
    <w:p w14:paraId="036F11A5">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十二、合同组成</w:t>
      </w:r>
    </w:p>
    <w:p w14:paraId="0681419F">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w:t>
      </w:r>
    </w:p>
    <w:p w14:paraId="2F59AA51">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2、合同文件</w:t>
      </w:r>
    </w:p>
    <w:p w14:paraId="6204DC0A">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p>
    <w:p w14:paraId="357FD983">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4、国家相关规范及标准</w:t>
      </w:r>
    </w:p>
    <w:p w14:paraId="6D1392B5">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5、服务标准</w:t>
      </w:r>
    </w:p>
    <w:p w14:paraId="09342042">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6、</w:t>
      </w:r>
      <w:r>
        <w:rPr>
          <w:rFonts w:hint="eastAsia" w:ascii="微软雅黑" w:hAnsi="微软雅黑" w:eastAsia="微软雅黑" w:cs="微软雅黑"/>
          <w:sz w:val="24"/>
          <w:lang w:eastAsia="zh-CN"/>
        </w:rPr>
        <w:t>招标文件</w:t>
      </w:r>
    </w:p>
    <w:p w14:paraId="162523DA">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7、包括</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采购内容及要求</w:t>
      </w:r>
    </w:p>
    <w:p w14:paraId="79236A3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十三、合同生效及其它</w:t>
      </w:r>
    </w:p>
    <w:p w14:paraId="7240A290">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1、合同未尽事宜、由甲、乙双方协商，作为合同补充，与原合同具有同等法律效力。</w:t>
      </w:r>
    </w:p>
    <w:p w14:paraId="209552B6">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2、本合同正本一式</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份，甲方、乙方双方分别执</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备案</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p>
    <w:p w14:paraId="14D05B90">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3、合同经甲乙双方盖章、签字后生效，合同签订地点为</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w:t>
      </w:r>
    </w:p>
    <w:p w14:paraId="1CCF4FCC">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4、生效时间：   年  月  日</w:t>
      </w:r>
    </w:p>
    <w:p w14:paraId="32E43980">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p>
    <w:p w14:paraId="6A0F64E1">
      <w:pPr>
        <w:pStyle w:val="6"/>
        <w:rPr>
          <w:rFonts w:hint="eastAsia" w:ascii="微软雅黑" w:hAnsi="微软雅黑" w:eastAsia="微软雅黑" w:cs="微软雅黑"/>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53517FD5">
        <w:tblPrEx>
          <w:tblCellMar>
            <w:top w:w="0" w:type="dxa"/>
            <w:left w:w="108" w:type="dxa"/>
            <w:bottom w:w="0" w:type="dxa"/>
            <w:right w:w="108" w:type="dxa"/>
          </w:tblCellMar>
        </w:tblPrEx>
        <w:trPr>
          <w:jc w:val="center"/>
        </w:trPr>
        <w:tc>
          <w:tcPr>
            <w:tcW w:w="4643" w:type="dxa"/>
            <w:noWrap w:val="0"/>
            <w:vAlign w:val="top"/>
          </w:tcPr>
          <w:p w14:paraId="28929D78">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甲方名称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1016F7E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7E18F2A6">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2D26C8D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3DCDB547">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7D54A78B">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67CA32C8">
            <w:pPr>
              <w:pStyle w:val="10"/>
              <w:rPr>
                <w:rFonts w:hint="eastAsia" w:ascii="微软雅黑" w:hAnsi="微软雅黑" w:eastAsia="微软雅黑" w:cs="微软雅黑"/>
              </w:rPr>
            </w:pPr>
          </w:p>
          <w:p w14:paraId="65AA2FED">
            <w:pPr>
              <w:pStyle w:val="10"/>
              <w:rPr>
                <w:rFonts w:hint="eastAsia" w:ascii="微软雅黑" w:hAnsi="微软雅黑" w:eastAsia="微软雅黑" w:cs="微软雅黑"/>
              </w:rPr>
            </w:pPr>
          </w:p>
        </w:tc>
        <w:tc>
          <w:tcPr>
            <w:tcW w:w="4643" w:type="dxa"/>
            <w:noWrap w:val="0"/>
            <w:vAlign w:val="top"/>
          </w:tcPr>
          <w:p w14:paraId="3A34F2F3">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乙方名称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12F78FDB">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3FE16736">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7C4C0AD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1A629AF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56EB318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7B8D086F">
            <w:pPr>
              <w:pStyle w:val="10"/>
              <w:rPr>
                <w:rFonts w:hint="eastAsia" w:ascii="微软雅黑" w:hAnsi="微软雅黑" w:eastAsia="微软雅黑" w:cs="微软雅黑"/>
              </w:rPr>
            </w:pPr>
          </w:p>
          <w:p w14:paraId="38610441">
            <w:pPr>
              <w:pStyle w:val="10"/>
              <w:rPr>
                <w:rFonts w:hint="eastAsia" w:ascii="微软雅黑" w:hAnsi="微软雅黑" w:eastAsia="微软雅黑" w:cs="微软雅黑"/>
              </w:rPr>
            </w:pPr>
          </w:p>
        </w:tc>
      </w:tr>
    </w:tbl>
    <w:p w14:paraId="0362C6D6">
      <w:r>
        <w:br w:type="page"/>
      </w:r>
    </w:p>
    <w:p w14:paraId="3B35D9EF">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3包：富平县精神障碍社区康复服务评估项目</w:t>
      </w:r>
    </w:p>
    <w:p w14:paraId="18CC5E2D">
      <w:pPr>
        <w:pageBreakBefore w:val="0"/>
        <w:kinsoku/>
        <w:overflowPunct/>
        <w:topLinePunct w:val="0"/>
        <w:bidi w:val="0"/>
        <w:spacing w:beforeAutospacing="0" w:afterAutospacing="0" w:line="440" w:lineRule="exact"/>
        <w:ind w:left="0" w:leftChars="0" w:right="0"/>
        <w:jc w:val="center"/>
        <w:outlineLvl w:val="0"/>
        <w:rPr>
          <w:rFonts w:hint="eastAsia" w:ascii="微软雅黑" w:hAnsi="微软雅黑" w:eastAsia="微软雅黑" w:cs="微软雅黑"/>
          <w:b/>
          <w:color w:val="auto"/>
          <w:sz w:val="32"/>
          <w:szCs w:val="32"/>
          <w:highlight w:val="none"/>
        </w:rPr>
      </w:pPr>
      <w:r>
        <w:rPr>
          <w:rFonts w:hint="eastAsia" w:ascii="微软雅黑" w:hAnsi="微软雅黑" w:eastAsia="微软雅黑" w:cs="微软雅黑"/>
          <w:b/>
          <w:color w:val="auto"/>
          <w:sz w:val="32"/>
          <w:szCs w:val="32"/>
          <w:highlight w:val="none"/>
        </w:rPr>
        <w:t>拟签订的合同文本</w:t>
      </w:r>
    </w:p>
    <w:p w14:paraId="79D84474">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color w:val="auto"/>
          <w:highlight w:val="none"/>
        </w:rPr>
      </w:pPr>
    </w:p>
    <w:p w14:paraId="6AC49774">
      <w:pPr>
        <w:pageBreakBefore w:val="0"/>
        <w:tabs>
          <w:tab w:val="left" w:pos="735"/>
        </w:tabs>
        <w:kinsoku/>
        <w:overflowPunct/>
        <w:topLinePunct w:val="0"/>
        <w:autoSpaceDE w:val="0"/>
        <w:autoSpaceDN w:val="0"/>
        <w:bidi w:val="0"/>
        <w:adjustRightInd w:val="0"/>
        <w:snapToGrid w:val="0"/>
        <w:spacing w:beforeAutospacing="0" w:afterAutospacing="0" w:line="440" w:lineRule="exact"/>
        <w:ind w:left="0" w:leftChars="0" w:right="0" w:firstLine="631"/>
        <w:jc w:val="center"/>
        <w:rPr>
          <w:rFonts w:hint="eastAsia" w:ascii="微软雅黑" w:hAnsi="微软雅黑" w:eastAsia="微软雅黑" w:cs="微软雅黑"/>
          <w:b/>
          <w:bCs/>
          <w:color w:val="auto"/>
          <w:sz w:val="24"/>
          <w:szCs w:val="24"/>
          <w:highlight w:val="none"/>
          <w:lang w:val="zh-CN"/>
        </w:rPr>
      </w:pPr>
      <w:r>
        <w:rPr>
          <w:rFonts w:hint="eastAsia" w:ascii="微软雅黑" w:hAnsi="微软雅黑" w:eastAsia="微软雅黑" w:cs="微软雅黑"/>
          <w:b/>
          <w:color w:val="auto"/>
          <w:highlight w:val="none"/>
        </w:rPr>
        <w:t>（此合同仅供参考，以最终采购人与中标人签定的合同条款为准进行公示，最终签定合同的主要条款不能与招标文件有冲突。）</w:t>
      </w:r>
    </w:p>
    <w:p w14:paraId="45EA1F40">
      <w:pPr>
        <w:pStyle w:val="4"/>
        <w:pageBreakBefore w:val="0"/>
        <w:kinsoku/>
        <w:overflowPunct/>
        <w:topLinePunct w:val="0"/>
        <w:bidi w:val="0"/>
        <w:spacing w:beforeAutospacing="0" w:afterAutospacing="0" w:line="440" w:lineRule="exact"/>
        <w:ind w:left="0" w:leftChars="0" w:right="0"/>
        <w:rPr>
          <w:rFonts w:hint="eastAsia" w:ascii="微软雅黑" w:hAnsi="微软雅黑" w:eastAsia="微软雅黑" w:cs="微软雅黑"/>
          <w:highlight w:val="none"/>
        </w:rPr>
      </w:pPr>
    </w:p>
    <w:p w14:paraId="4B69656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甲方：</w:t>
      </w:r>
      <w:r>
        <w:rPr>
          <w:rFonts w:hint="eastAsia" w:ascii="微软雅黑" w:hAnsi="微软雅黑" w:eastAsia="微软雅黑" w:cs="微软雅黑"/>
          <w:bCs/>
          <w:sz w:val="24"/>
          <w:lang w:val="zh-CN"/>
        </w:rPr>
        <w:t xml:space="preserve">（前款所称采购人） </w:t>
      </w:r>
    </w:p>
    <w:p w14:paraId="176DF031">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Cs/>
          <w:sz w:val="24"/>
          <w:lang w:val="zh-CN"/>
        </w:rPr>
      </w:pPr>
      <w:r>
        <w:rPr>
          <w:rFonts w:hint="eastAsia" w:ascii="微软雅黑" w:hAnsi="微软雅黑" w:eastAsia="微软雅黑" w:cs="微软雅黑"/>
          <w:b/>
          <w:bCs/>
          <w:sz w:val="24"/>
          <w:lang w:val="zh-CN"/>
        </w:rPr>
        <w:t>乙方：</w:t>
      </w:r>
      <w:r>
        <w:rPr>
          <w:rFonts w:hint="eastAsia" w:ascii="微软雅黑" w:hAnsi="微软雅黑" w:eastAsia="微软雅黑" w:cs="微软雅黑"/>
          <w:bCs/>
          <w:sz w:val="24"/>
          <w:lang w:val="zh-CN"/>
        </w:rPr>
        <w:t>（前款所称中标人）</w:t>
      </w:r>
    </w:p>
    <w:p w14:paraId="37DDC5E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 xml:space="preserve">一、合同内容: </w:t>
      </w:r>
    </w:p>
    <w:p w14:paraId="552563F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二、合同价款：</w:t>
      </w:r>
    </w:p>
    <w:p w14:paraId="16B6F3AE">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1、合同总价：</w:t>
      </w:r>
      <w:r>
        <w:rPr>
          <w:rFonts w:hint="eastAsia" w:ascii="微软雅黑" w:hAnsi="微软雅黑" w:eastAsia="微软雅黑" w:cs="微软雅黑"/>
          <w:sz w:val="24"/>
          <w:u w:val="single"/>
        </w:rPr>
        <w:t xml:space="preserve">      </w:t>
      </w:r>
    </w:p>
    <w:p w14:paraId="62F44D72">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2、合同总价包括：包括项目所需的人工费、服务费、</w:t>
      </w:r>
      <w:r>
        <w:rPr>
          <w:rFonts w:hint="eastAsia" w:ascii="微软雅黑" w:hAnsi="微软雅黑" w:eastAsia="微软雅黑" w:cs="微软雅黑"/>
          <w:sz w:val="24"/>
          <w:lang w:val="en-US" w:eastAsia="zh-CN"/>
        </w:rPr>
        <w:t>差旅费、</w:t>
      </w:r>
      <w:r>
        <w:rPr>
          <w:rFonts w:hint="eastAsia" w:ascii="微软雅黑" w:hAnsi="微软雅黑" w:eastAsia="微软雅黑" w:cs="微软雅黑"/>
          <w:sz w:val="24"/>
        </w:rPr>
        <w:t>管理费、税金等所有费用。</w:t>
      </w:r>
    </w:p>
    <w:p w14:paraId="51EEB2D1">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3、合同总价一次包死，不受市场价变化的影响。</w:t>
      </w:r>
    </w:p>
    <w:p w14:paraId="00924D4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三、合同结算：</w:t>
      </w:r>
    </w:p>
    <w:p w14:paraId="172A483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1、首期服务费：采购合同签订后20个工作日内拨付50%经费。</w:t>
      </w:r>
    </w:p>
    <w:p w14:paraId="78D915D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2、第二期服务费：，项目执行进度过半以上，拨付30%经费。</w:t>
      </w:r>
    </w:p>
    <w:p w14:paraId="37C12927">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3、第三期服务费：，项目整体验收合格后拨付剩余20%经费。</w:t>
      </w:r>
    </w:p>
    <w:p w14:paraId="37B1C4A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甲方每次付款前，乙方应向甲方开具合法有效的专用发票，对于满足合同约定支付条件的，采购人收到供应商合格发票后10工作日内进行支付。</w:t>
      </w:r>
    </w:p>
    <w:p w14:paraId="656A5DD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四、服务期限</w:t>
      </w:r>
    </w:p>
    <w:p w14:paraId="162CF26D">
      <w:pPr>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一年。</w:t>
      </w:r>
    </w:p>
    <w:p w14:paraId="7A7EA9B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五、工作内容</w:t>
      </w:r>
    </w:p>
    <w:p w14:paraId="01AA326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求对精神障碍社区康复服务内容及形式、服务质量、服务对象满意度、业务培训、项目资金的使用情况等开展综合评价。定期对项目执行情况进行检查和指导，评估项目实施的效果，提出建设性的意见建议</w:t>
      </w:r>
    </w:p>
    <w:p w14:paraId="350CB71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六、甲方的权利与义务</w:t>
      </w:r>
    </w:p>
    <w:p w14:paraId="443636DF">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1、甲方有权对合同规定范围内乙方的服务行为进行监督和检查，拥有监管权。有权核对乙方提供服务所配备的人员数量。对甲方认为不合理的部分有权下达整改通知书，并要求乙方限期整改。</w:t>
      </w:r>
    </w:p>
    <w:p w14:paraId="2608CE9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2、甲方有权负责检查监督乙方管理工作的实施及制度的执行情况。</w:t>
      </w:r>
    </w:p>
    <w:p w14:paraId="00B45E5A">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3、甲方应根据本合同规定，按时向乙方支付应付服务费用。</w:t>
      </w:r>
    </w:p>
    <w:p w14:paraId="569B35F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4、国家法律、法规所规定由甲方承担的其它责任。</w:t>
      </w:r>
    </w:p>
    <w:p w14:paraId="691FD1F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七、乙方的权利与义务</w:t>
      </w:r>
    </w:p>
    <w:p w14:paraId="31A2891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1、对本合同规定的委托服务范围内的项目享有管理权及服务义务。</w:t>
      </w:r>
    </w:p>
    <w:p w14:paraId="0A1C989D">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2、根据本合同的规定向甲方收取相关服务费用，并有权在本项目管理范围内管理及合理使用。</w:t>
      </w:r>
    </w:p>
    <w:p w14:paraId="3A187055">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3、乙方应及时向甲方通告本项目服务范围内有关服务的重大事项，及时配合处理各种突发事件。</w:t>
      </w:r>
    </w:p>
    <w:p w14:paraId="43F63F2E">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4、乙方接受项目行业管理部门及政府有关部门的指导，接受甲方的监督。</w:t>
      </w:r>
    </w:p>
    <w:p w14:paraId="46CEB5B5">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5、国家法律、法规所规定由乙方承担的其它责任。</w:t>
      </w:r>
    </w:p>
    <w:p w14:paraId="5EFE7EBB">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八、验收</w:t>
      </w:r>
    </w:p>
    <w:p w14:paraId="4CA1B369">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rPr>
      </w:pPr>
      <w:r>
        <w:rPr>
          <w:rFonts w:hint="eastAsia" w:ascii="微软雅黑" w:hAnsi="微软雅黑" w:eastAsia="微软雅黑" w:cs="微软雅黑"/>
          <w:sz w:val="24"/>
        </w:rPr>
        <w:t>采购人组织验收评估，依据</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通知书、合同文件及国家相关规范及标准进行验收。</w:t>
      </w:r>
    </w:p>
    <w:p w14:paraId="462EB21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九、违约责任及协议的解除</w:t>
      </w:r>
    </w:p>
    <w:p w14:paraId="1399AE74">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1、甲乙双方必须遵守本合同并执行合同中的各项规定，保证本合同的正常履行。</w:t>
      </w:r>
    </w:p>
    <w:p w14:paraId="316A7FE8">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因乙方在履行合同中遗留或造成隐患及瑕疵和因乙方工作人员在履行职务过程中的疏忽、失职、过错等故意或者过失原因给甲方造成损失或侵害，包括但不限于甲方本身的财产损失、由此而导致的甲方对任何第三方的法律责任等，包括解决纷争律师费用及相关费用，乙方对此均应承担全部的赔偿责任。</w:t>
      </w:r>
    </w:p>
    <w:p w14:paraId="2C732A72">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十、争议解决方式</w:t>
      </w:r>
    </w:p>
    <w:p w14:paraId="1140D717">
      <w:pPr>
        <w:adjustRightInd w:val="0"/>
        <w:snapToGrid w:val="0"/>
        <w:spacing w:line="560" w:lineRule="exact"/>
        <w:ind w:firstLine="480" w:firstLineChars="200"/>
        <w:rPr>
          <w:rFonts w:hint="eastAsia" w:ascii="微软雅黑" w:hAnsi="微软雅黑" w:eastAsia="微软雅黑" w:cs="微软雅黑"/>
          <w:sz w:val="24"/>
          <w:lang w:val="zh-CN"/>
        </w:rPr>
      </w:pPr>
      <w:r>
        <w:rPr>
          <w:rFonts w:hint="eastAsia" w:ascii="微软雅黑" w:hAnsi="微软雅黑" w:eastAsia="微软雅黑" w:cs="微软雅黑"/>
          <w:sz w:val="24"/>
          <w:lang w:val="zh-CN"/>
        </w:rPr>
        <w:t>甲、乙双方在协议履行过程中发生争议的，应及时协商解决。</w:t>
      </w:r>
    </w:p>
    <w:p w14:paraId="13AF12E6">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十一、其他</w:t>
      </w:r>
    </w:p>
    <w:p w14:paraId="247F1715">
      <w:pPr>
        <w:spacing w:line="4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在合同有效期内，任何一方因不可抗力事件导致不能履行合同，则合同履行期可延长，其延长期与不可抗力影响期相同，本合同履行地为甲方所在地。</w:t>
      </w:r>
    </w:p>
    <w:p w14:paraId="620E4C83">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十二、合同组成</w:t>
      </w:r>
    </w:p>
    <w:p w14:paraId="79CDD2E0">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1、</w:t>
      </w:r>
      <w:r>
        <w:rPr>
          <w:rFonts w:hint="eastAsia" w:ascii="微软雅黑" w:hAnsi="微软雅黑" w:eastAsia="微软雅黑" w:cs="微软雅黑"/>
          <w:sz w:val="24"/>
          <w:lang w:val="en-US" w:eastAsia="zh-CN"/>
        </w:rPr>
        <w:t>中标</w:t>
      </w:r>
      <w:r>
        <w:rPr>
          <w:rFonts w:hint="eastAsia" w:ascii="微软雅黑" w:hAnsi="微软雅黑" w:eastAsia="微软雅黑" w:cs="微软雅黑"/>
          <w:sz w:val="24"/>
        </w:rPr>
        <w:t>通知书</w:t>
      </w:r>
    </w:p>
    <w:p w14:paraId="773007F7">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2、合同文件</w:t>
      </w:r>
    </w:p>
    <w:p w14:paraId="698B3F2E">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3、</w:t>
      </w:r>
      <w:r>
        <w:rPr>
          <w:rFonts w:hint="eastAsia" w:ascii="微软雅黑" w:hAnsi="微软雅黑" w:eastAsia="微软雅黑" w:cs="微软雅黑"/>
          <w:sz w:val="24"/>
          <w:lang w:val="en-US" w:eastAsia="zh-CN"/>
        </w:rPr>
        <w:t>投标</w:t>
      </w:r>
      <w:r>
        <w:rPr>
          <w:rFonts w:hint="eastAsia" w:ascii="微软雅黑" w:hAnsi="微软雅黑" w:eastAsia="微软雅黑" w:cs="微软雅黑"/>
          <w:sz w:val="24"/>
        </w:rPr>
        <w:t>文件</w:t>
      </w:r>
    </w:p>
    <w:p w14:paraId="656BF9B2">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4、国家相关规范及标准</w:t>
      </w:r>
    </w:p>
    <w:p w14:paraId="4B57DB1E">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5、服务标准</w:t>
      </w:r>
    </w:p>
    <w:p w14:paraId="3457E227">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6、</w:t>
      </w:r>
      <w:r>
        <w:rPr>
          <w:rFonts w:hint="eastAsia" w:ascii="微软雅黑" w:hAnsi="微软雅黑" w:eastAsia="微软雅黑" w:cs="微软雅黑"/>
          <w:sz w:val="24"/>
          <w:lang w:eastAsia="zh-CN"/>
        </w:rPr>
        <w:t>招标文件</w:t>
      </w:r>
    </w:p>
    <w:p w14:paraId="63B9820A">
      <w:pPr>
        <w:adjustRightInd w:val="0"/>
        <w:snapToGrid w:val="0"/>
        <w:spacing w:line="560" w:lineRule="exact"/>
        <w:ind w:firstLine="480" w:firstLineChars="200"/>
        <w:rPr>
          <w:rFonts w:hint="eastAsia" w:ascii="微软雅黑" w:hAnsi="微软雅黑" w:eastAsia="微软雅黑" w:cs="微软雅黑"/>
          <w:sz w:val="24"/>
        </w:rPr>
      </w:pPr>
      <w:r>
        <w:rPr>
          <w:rFonts w:hint="eastAsia" w:ascii="微软雅黑" w:hAnsi="微软雅黑" w:eastAsia="微软雅黑" w:cs="微软雅黑"/>
          <w:sz w:val="24"/>
        </w:rPr>
        <w:t>7、包括</w:t>
      </w:r>
      <w:r>
        <w:rPr>
          <w:rFonts w:hint="eastAsia" w:ascii="微软雅黑" w:hAnsi="微软雅黑" w:eastAsia="微软雅黑" w:cs="微软雅黑"/>
          <w:sz w:val="24"/>
          <w:lang w:eastAsia="zh-CN"/>
        </w:rPr>
        <w:t>招标文件</w:t>
      </w:r>
      <w:r>
        <w:rPr>
          <w:rFonts w:hint="eastAsia" w:ascii="微软雅黑" w:hAnsi="微软雅黑" w:eastAsia="微软雅黑" w:cs="微软雅黑"/>
          <w:sz w:val="24"/>
        </w:rPr>
        <w:t>采购内容及要求</w:t>
      </w:r>
    </w:p>
    <w:p w14:paraId="5F3D94CC">
      <w:pPr>
        <w:tabs>
          <w:tab w:val="left" w:pos="735"/>
        </w:tabs>
        <w:autoSpaceDE w:val="0"/>
        <w:autoSpaceDN w:val="0"/>
        <w:adjustRightInd w:val="0"/>
        <w:snapToGrid w:val="0"/>
        <w:spacing w:line="560" w:lineRule="exact"/>
        <w:ind w:firstLine="480" w:firstLineChars="200"/>
        <w:rPr>
          <w:rFonts w:hint="eastAsia" w:ascii="微软雅黑" w:hAnsi="微软雅黑" w:eastAsia="微软雅黑" w:cs="微软雅黑"/>
          <w:b/>
          <w:bCs/>
          <w:sz w:val="24"/>
          <w:lang w:val="zh-CN"/>
        </w:rPr>
      </w:pPr>
      <w:r>
        <w:rPr>
          <w:rFonts w:hint="eastAsia" w:ascii="微软雅黑" w:hAnsi="微软雅黑" w:eastAsia="微软雅黑" w:cs="微软雅黑"/>
          <w:b/>
          <w:bCs/>
          <w:sz w:val="24"/>
          <w:lang w:val="zh-CN"/>
        </w:rPr>
        <w:t>十三、合同生效及其它</w:t>
      </w:r>
    </w:p>
    <w:p w14:paraId="3D3C21D8">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1、合同未尽事宜、由甲、乙双方协商，作为合同补充，与原合同具有同等法律效力。</w:t>
      </w:r>
    </w:p>
    <w:p w14:paraId="5B678F2A">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2、本合同正本一式</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份，甲方、乙方双方分别执</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备案</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份。</w:t>
      </w:r>
    </w:p>
    <w:p w14:paraId="73086F07">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3、合同经甲乙双方盖章、签字后生效，合同签订地点为</w:t>
      </w:r>
      <w:r>
        <w:rPr>
          <w:rFonts w:hint="eastAsia" w:ascii="微软雅黑" w:hAnsi="微软雅黑" w:eastAsia="微软雅黑" w:cs="微软雅黑"/>
          <w:kern w:val="0"/>
          <w:sz w:val="24"/>
          <w:u w:val="single"/>
        </w:rPr>
        <w:t xml:space="preserve">   </w:t>
      </w:r>
      <w:r>
        <w:rPr>
          <w:rFonts w:hint="eastAsia" w:ascii="微软雅黑" w:hAnsi="微软雅黑" w:eastAsia="微软雅黑" w:cs="微软雅黑"/>
          <w:kern w:val="0"/>
          <w:sz w:val="24"/>
        </w:rPr>
        <w:t>。</w:t>
      </w:r>
    </w:p>
    <w:p w14:paraId="5628189F">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4、生效时间：   年  月  日</w:t>
      </w:r>
    </w:p>
    <w:p w14:paraId="02582D08">
      <w:pPr>
        <w:widowControl/>
        <w:tabs>
          <w:tab w:val="left" w:pos="8391"/>
        </w:tabs>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p>
    <w:p w14:paraId="7F3868B1">
      <w:pPr>
        <w:pStyle w:val="6"/>
        <w:rPr>
          <w:rFonts w:hint="eastAsia" w:ascii="微软雅黑" w:hAnsi="微软雅黑" w:eastAsia="微软雅黑" w:cs="微软雅黑"/>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5301F260">
        <w:tblPrEx>
          <w:tblCellMar>
            <w:top w:w="0" w:type="dxa"/>
            <w:left w:w="108" w:type="dxa"/>
            <w:bottom w:w="0" w:type="dxa"/>
            <w:right w:w="108" w:type="dxa"/>
          </w:tblCellMar>
        </w:tblPrEx>
        <w:trPr>
          <w:jc w:val="center"/>
        </w:trPr>
        <w:tc>
          <w:tcPr>
            <w:tcW w:w="4643" w:type="dxa"/>
            <w:noWrap w:val="0"/>
            <w:vAlign w:val="top"/>
          </w:tcPr>
          <w:p w14:paraId="3FF4F8B1">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甲方名称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242519CF">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5D50B00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66D19DF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6FEF487F">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342CECBB">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456AD7B1">
            <w:pPr>
              <w:pStyle w:val="10"/>
              <w:rPr>
                <w:rFonts w:hint="eastAsia" w:ascii="微软雅黑" w:hAnsi="微软雅黑" w:eastAsia="微软雅黑" w:cs="微软雅黑"/>
              </w:rPr>
            </w:pPr>
          </w:p>
          <w:p w14:paraId="630D4FD9">
            <w:pPr>
              <w:pStyle w:val="10"/>
              <w:rPr>
                <w:rFonts w:hint="eastAsia" w:ascii="微软雅黑" w:hAnsi="微软雅黑" w:eastAsia="微软雅黑" w:cs="微软雅黑"/>
              </w:rPr>
            </w:pPr>
          </w:p>
        </w:tc>
        <w:tc>
          <w:tcPr>
            <w:tcW w:w="4643" w:type="dxa"/>
            <w:noWrap w:val="0"/>
            <w:vAlign w:val="top"/>
          </w:tcPr>
          <w:p w14:paraId="7F91E7C6">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乙方名称</w:t>
            </w:r>
            <w:r>
              <w:rPr>
                <w:rFonts w:hint="eastAsia" w:ascii="微软雅黑" w:hAnsi="微软雅黑" w:eastAsia="微软雅黑" w:cs="微软雅黑"/>
                <w:spacing w:val="-20"/>
                <w:kern w:val="0"/>
                <w:sz w:val="24"/>
              </w:rPr>
              <w:t>（盖章）</w:t>
            </w:r>
            <w:r>
              <w:rPr>
                <w:rFonts w:hint="eastAsia" w:ascii="微软雅黑" w:hAnsi="微软雅黑" w:eastAsia="微软雅黑" w:cs="微软雅黑"/>
                <w:kern w:val="0"/>
                <w:sz w:val="24"/>
              </w:rPr>
              <w:t>:</w:t>
            </w:r>
          </w:p>
          <w:p w14:paraId="14A7F461">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地址：</w:t>
            </w:r>
          </w:p>
          <w:p w14:paraId="6D088C3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代表人（签字）：</w:t>
            </w:r>
          </w:p>
          <w:p w14:paraId="5D2BDF33">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电话：</w:t>
            </w:r>
          </w:p>
          <w:p w14:paraId="332DBEF2">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开户银行：</w:t>
            </w:r>
          </w:p>
          <w:p w14:paraId="43C453AA">
            <w:pPr>
              <w:widowControl/>
              <w:autoSpaceDE w:val="0"/>
              <w:autoSpaceDN w:val="0"/>
              <w:snapToGrid w:val="0"/>
              <w:spacing w:line="560" w:lineRule="exact"/>
              <w:ind w:firstLine="480" w:firstLineChars="200"/>
              <w:textAlignment w:val="bottom"/>
              <w:rPr>
                <w:rFonts w:hint="eastAsia" w:ascii="微软雅黑" w:hAnsi="微软雅黑" w:eastAsia="微软雅黑" w:cs="微软雅黑"/>
                <w:kern w:val="0"/>
                <w:sz w:val="24"/>
              </w:rPr>
            </w:pPr>
            <w:r>
              <w:rPr>
                <w:rFonts w:hint="eastAsia" w:ascii="微软雅黑" w:hAnsi="微软雅黑" w:eastAsia="微软雅黑" w:cs="微软雅黑"/>
                <w:kern w:val="0"/>
                <w:sz w:val="24"/>
              </w:rPr>
              <w:t>帐号：</w:t>
            </w:r>
          </w:p>
          <w:p w14:paraId="7951DD5A">
            <w:pPr>
              <w:pStyle w:val="10"/>
              <w:rPr>
                <w:rFonts w:hint="eastAsia" w:ascii="微软雅黑" w:hAnsi="微软雅黑" w:eastAsia="微软雅黑" w:cs="微软雅黑"/>
              </w:rPr>
            </w:pPr>
          </w:p>
          <w:p w14:paraId="4692B62D">
            <w:pPr>
              <w:pStyle w:val="10"/>
              <w:rPr>
                <w:rFonts w:hint="eastAsia" w:ascii="微软雅黑" w:hAnsi="微软雅黑" w:eastAsia="微软雅黑" w:cs="微软雅黑"/>
              </w:rPr>
            </w:pPr>
          </w:p>
        </w:tc>
      </w:tr>
    </w:tbl>
    <w:p w14:paraId="74F1C731">
      <w:pPr>
        <w:pageBreakBefore w:val="0"/>
        <w:kinsoku/>
        <w:overflowPunct/>
        <w:topLinePunct w:val="0"/>
        <w:bidi w:val="0"/>
        <w:spacing w:beforeAutospacing="0" w:afterAutospacing="0" w:line="440" w:lineRule="exact"/>
        <w:ind w:left="0" w:leftChars="0" w:right="0" w:firstLine="2561" w:firstLineChars="800"/>
        <w:rPr>
          <w:rFonts w:hint="eastAsia" w:ascii="微软雅黑" w:hAnsi="微软雅黑" w:eastAsia="微软雅黑" w:cs="微软雅黑"/>
          <w:b/>
          <w:color w:val="auto"/>
          <w:sz w:val="32"/>
          <w:szCs w:val="32"/>
          <w:highlight w:val="none"/>
        </w:rPr>
      </w:pPr>
    </w:p>
    <w:p w14:paraId="4A477EBA">
      <w:pPr>
        <w:pStyle w:val="6"/>
        <w:rPr>
          <w:rFonts w:hint="eastAsia" w:ascii="微软雅黑" w:hAnsi="微软雅黑" w:eastAsia="微软雅黑" w:cs="微软雅黑"/>
          <w:b/>
          <w:color w:val="auto"/>
          <w:sz w:val="32"/>
          <w:szCs w:val="32"/>
          <w:highlight w:val="none"/>
        </w:rPr>
      </w:pPr>
    </w:p>
    <w:p w14:paraId="0616AA8D"/>
    <w:p w14:paraId="2C04826C">
      <w:pPr>
        <w:pStyle w:val="2"/>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DA618F"/>
    <w:rsid w:val="19CE3DE3"/>
    <w:rsid w:val="25C33A4E"/>
    <w:rsid w:val="31CE46ED"/>
    <w:rsid w:val="4AF024DA"/>
    <w:rsid w:val="70DA6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lock Text"/>
    <w:basedOn w:val="1"/>
    <w:qFormat/>
    <w:uiPriority w:val="0"/>
    <w:pPr>
      <w:spacing w:after="120" w:afterLines="0" w:afterAutospacing="0"/>
      <w:ind w:left="1440" w:leftChars="700" w:rightChars="700"/>
    </w:pPr>
  </w:style>
  <w:style w:type="paragraph" w:styleId="3">
    <w:name w:val="Normal Indent"/>
    <w:basedOn w:val="1"/>
    <w:qFormat/>
    <w:uiPriority w:val="0"/>
    <w:pPr>
      <w:widowControl w:val="0"/>
      <w:ind w:firstLine="420"/>
      <w:jc w:val="both"/>
    </w:pPr>
    <w:rPr>
      <w:szCs w:val="21"/>
    </w:rPr>
  </w:style>
  <w:style w:type="paragraph" w:styleId="4">
    <w:name w:val="Body Text"/>
    <w:next w:val="1"/>
    <w:qFormat/>
    <w:uiPriority w:val="0"/>
    <w:pPr>
      <w:widowControl w:val="0"/>
      <w:jc w:val="center"/>
    </w:pPr>
    <w:rPr>
      <w:rFonts w:ascii="Times New Roman" w:hAnsi="Times New Roman" w:eastAsia="宋体" w:cs="Times New Roman"/>
      <w:kern w:val="2"/>
      <w:sz w:val="21"/>
      <w:lang w:val="en-US" w:eastAsia="zh-CN" w:bidi="ar-SA"/>
    </w:rPr>
  </w:style>
  <w:style w:type="paragraph" w:styleId="5">
    <w:name w:val="Body Text Indent"/>
    <w:basedOn w:val="1"/>
    <w:next w:val="3"/>
    <w:qFormat/>
    <w:uiPriority w:val="0"/>
    <w:pPr>
      <w:ind w:firstLine="830" w:firstLineChars="352"/>
    </w:pPr>
    <w:rPr>
      <w:rFonts w:ascii="仿宋_GB2312" w:eastAsia="仿宋_GB2312"/>
      <w:kern w:val="0"/>
      <w:sz w:val="32"/>
      <w:szCs w:val="20"/>
    </w:rPr>
  </w:style>
  <w:style w:type="paragraph" w:styleId="6">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lang w:val="en-US" w:eastAsia="zh-CN" w:bidi="ar-SA"/>
    </w:rPr>
  </w:style>
  <w:style w:type="paragraph" w:styleId="7">
    <w:name w:val="Body Text First Indent 2"/>
    <w:basedOn w:val="5"/>
    <w:next w:val="1"/>
    <w:unhideWhenUsed/>
    <w:qFormat/>
    <w:uiPriority w:val="99"/>
    <w:pPr>
      <w:tabs>
        <w:tab w:val="left" w:pos="720"/>
      </w:tabs>
      <w:spacing w:after="120"/>
      <w:ind w:left="420" w:leftChars="200" w:firstLine="420"/>
    </w:pPr>
    <w:rPr>
      <w:rFonts w:cs="Times New Roman"/>
    </w:rPr>
  </w:style>
  <w:style w:type="paragraph" w:customStyle="1" w:styleId="10">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1697</Words>
  <Characters>1705</Characters>
  <Lines>0</Lines>
  <Paragraphs>0</Paragraphs>
  <TotalTime>0</TotalTime>
  <ScaleCrop>false</ScaleCrop>
  <LinksUpToDate>false</LinksUpToDate>
  <CharactersWithSpaces>1737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2025-09-16T02:18:00Z</dcterms:created>
  <dc:creator>小龙</dc:creator>
  <cp:lastModifiedBy>九尾猫</cp:lastModifiedBy>
  <dcterms:modified xsi:type="dcterms:W3CDTF">2026-02-12T16:11:42Z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CA0ACFEC73B941B2AB382E888EAB1009_11</vt:lpwstr>
  </property>
  <property fmtid="{D5CDD505-2E9C-101B-9397-08002B2CF9AE}" pid="4" name="KSOTemplateDocerSaveRecord">
    <vt:lpwstr>eyJoZGlkIjoiZjFhY2NmMmU1YjEwNTJkYzQyOGMxOWNjOWI2YjhjNjQiLCJ1c2VySWQiOiIyOTc2MTAyNzkifQ==</vt:lpwstr>
  </property>
</Properties>
</file>