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393B0">
      <w:pPr>
        <w:pStyle w:val="3"/>
        <w:rPr>
          <w:rFonts w:hint="eastAsia" w:ascii="宋体" w:hAnsi="宋体" w:eastAsia="宋体" w:cs="宋体"/>
        </w:rPr>
      </w:pPr>
    </w:p>
    <w:p w14:paraId="4A3E9244">
      <w:pPr>
        <w:jc w:val="center"/>
        <w:rPr>
          <w:rFonts w:hint="eastAsia" w:ascii="宋体" w:hAnsi="宋体" w:eastAsia="宋体" w:cs="宋体"/>
          <w:b/>
          <w:bCs/>
          <w:szCs w:val="21"/>
        </w:rPr>
      </w:pPr>
    </w:p>
    <w:p w14:paraId="2F803F18">
      <w:pPr>
        <w:ind w:firstLine="602"/>
        <w:jc w:val="center"/>
        <w:rPr>
          <w:rFonts w:hint="eastAsia" w:ascii="宋体" w:hAnsi="宋体" w:eastAsia="宋体" w:cs="宋体"/>
          <w:b/>
          <w:bCs/>
          <w:snapToGrid w:val="0"/>
          <w:color w:val="000000"/>
          <w:sz w:val="30"/>
          <w:szCs w:val="30"/>
          <w:u w:val="single"/>
        </w:rPr>
      </w:pPr>
      <w:r>
        <w:rPr>
          <w:rFonts w:hint="eastAsia" w:ascii="宋体" w:hAnsi="宋体" w:eastAsia="宋体" w:cs="宋体"/>
          <w:b/>
          <w:bCs/>
          <w:snapToGrid w:val="0"/>
          <w:color w:val="000000"/>
          <w:sz w:val="30"/>
          <w:szCs w:val="30"/>
          <w:u w:val="single"/>
        </w:rPr>
        <w:t>（项目名称）</w:t>
      </w:r>
    </w:p>
    <w:p w14:paraId="1F67411A">
      <w:pPr>
        <w:ind w:firstLine="602"/>
        <w:jc w:val="center"/>
        <w:rPr>
          <w:rFonts w:hint="eastAsia" w:ascii="宋体" w:hAnsi="宋体" w:eastAsia="宋体" w:cs="宋体"/>
          <w:b/>
          <w:bCs/>
          <w:color w:val="000000"/>
          <w:sz w:val="30"/>
          <w:szCs w:val="30"/>
        </w:rPr>
      </w:pPr>
      <w:r>
        <w:rPr>
          <w:rFonts w:hint="eastAsia" w:ascii="宋体" w:hAnsi="宋体" w:eastAsia="宋体" w:cs="宋体"/>
          <w:b/>
          <w:bCs/>
          <w:color w:val="000000"/>
          <w:sz w:val="30"/>
          <w:szCs w:val="30"/>
        </w:rPr>
        <w:t>（项目编号：</w:t>
      </w:r>
      <w:r>
        <w:rPr>
          <w:rFonts w:hint="eastAsia" w:ascii="宋体" w:hAnsi="宋体" w:eastAsia="宋体" w:cs="宋体"/>
          <w:b/>
          <w:bCs/>
          <w:color w:val="000000"/>
          <w:sz w:val="30"/>
          <w:szCs w:val="30"/>
          <w:u w:val="single"/>
        </w:rPr>
        <w:t xml:space="preserve">            </w:t>
      </w:r>
      <w:r>
        <w:rPr>
          <w:rFonts w:hint="eastAsia" w:ascii="宋体" w:hAnsi="宋体" w:eastAsia="宋体" w:cs="宋体"/>
          <w:b/>
          <w:bCs/>
          <w:color w:val="000000"/>
          <w:sz w:val="30"/>
          <w:szCs w:val="30"/>
        </w:rPr>
        <w:t>）</w:t>
      </w:r>
    </w:p>
    <w:p w14:paraId="61E7B2D8">
      <w:pPr>
        <w:pStyle w:val="7"/>
        <w:rPr>
          <w:rFonts w:hint="eastAsia" w:ascii="宋体" w:hAnsi="宋体" w:eastAsia="宋体" w:cs="宋体"/>
          <w:b/>
          <w:bCs/>
          <w:snapToGrid w:val="0"/>
          <w:color w:val="000000"/>
          <w:sz w:val="48"/>
          <w:szCs w:val="48"/>
        </w:rPr>
      </w:pPr>
    </w:p>
    <w:p w14:paraId="30D8BEBF">
      <w:pPr>
        <w:pStyle w:val="7"/>
        <w:rPr>
          <w:rFonts w:hint="eastAsia" w:ascii="宋体" w:hAnsi="宋体" w:eastAsia="宋体" w:cs="宋体"/>
          <w:b/>
          <w:bCs/>
          <w:snapToGrid w:val="0"/>
          <w:color w:val="000000"/>
          <w:sz w:val="48"/>
          <w:szCs w:val="48"/>
        </w:rPr>
      </w:pPr>
    </w:p>
    <w:p w14:paraId="4E11AAEF">
      <w:pPr>
        <w:jc w:val="center"/>
        <w:rPr>
          <w:rFonts w:hint="eastAsia" w:ascii="宋体" w:hAnsi="宋体" w:eastAsia="宋体" w:cs="宋体"/>
          <w:b/>
          <w:bCs/>
          <w:color w:val="000000"/>
          <w:sz w:val="72"/>
          <w:szCs w:val="72"/>
        </w:rPr>
      </w:pPr>
      <w:r>
        <w:rPr>
          <w:rFonts w:hint="eastAsia" w:ascii="宋体" w:hAnsi="宋体" w:eastAsia="宋体" w:cs="宋体"/>
          <w:b/>
          <w:bCs/>
          <w:color w:val="000000"/>
          <w:sz w:val="72"/>
          <w:szCs w:val="72"/>
        </w:rPr>
        <w:t>合 同</w:t>
      </w:r>
    </w:p>
    <w:p w14:paraId="39C161D8">
      <w:pPr>
        <w:ind w:firstLine="600"/>
        <w:jc w:val="center"/>
        <w:rPr>
          <w:rFonts w:hint="eastAsia" w:ascii="宋体" w:hAnsi="宋体" w:eastAsia="宋体" w:cs="宋体"/>
          <w:b/>
          <w:bCs/>
          <w:color w:val="000000"/>
          <w:sz w:val="30"/>
          <w:szCs w:val="30"/>
        </w:rPr>
      </w:pPr>
    </w:p>
    <w:p w14:paraId="5C80AD4C">
      <w:pPr>
        <w:ind w:firstLine="600"/>
        <w:jc w:val="center"/>
        <w:rPr>
          <w:rFonts w:hint="eastAsia" w:ascii="宋体" w:hAnsi="宋体" w:eastAsia="宋体" w:cs="宋体"/>
          <w:b/>
          <w:bCs/>
          <w:color w:val="000000"/>
          <w:sz w:val="30"/>
          <w:szCs w:val="30"/>
        </w:rPr>
      </w:pPr>
    </w:p>
    <w:p w14:paraId="35D6A6F2">
      <w:pPr>
        <w:pStyle w:val="4"/>
        <w:rPr>
          <w:rFonts w:hint="eastAsia" w:ascii="宋体" w:hAnsi="宋体" w:eastAsia="宋体" w:cs="宋体"/>
          <w:b/>
          <w:bCs/>
          <w:color w:val="000000"/>
          <w:sz w:val="30"/>
          <w:szCs w:val="30"/>
        </w:rPr>
      </w:pPr>
    </w:p>
    <w:p w14:paraId="7789B2B0">
      <w:pPr>
        <w:pStyle w:val="4"/>
        <w:rPr>
          <w:rFonts w:hint="eastAsia" w:ascii="宋体" w:hAnsi="宋体" w:eastAsia="宋体" w:cs="宋体"/>
          <w:b/>
          <w:bCs/>
          <w:color w:val="000000"/>
          <w:sz w:val="30"/>
          <w:szCs w:val="30"/>
        </w:rPr>
      </w:pPr>
    </w:p>
    <w:p w14:paraId="00E311BF">
      <w:pPr>
        <w:ind w:firstLine="1606" w:firstLineChars="500"/>
        <w:rPr>
          <w:rFonts w:hint="eastAsia" w:ascii="宋体" w:hAnsi="宋体" w:eastAsia="宋体" w:cs="宋体"/>
          <w:b/>
          <w:bCs/>
          <w:color w:val="000000"/>
          <w:sz w:val="32"/>
          <w:szCs w:val="32"/>
        </w:rPr>
      </w:pPr>
      <w:r>
        <w:rPr>
          <w:rFonts w:hint="eastAsia" w:ascii="宋体" w:hAnsi="宋体" w:eastAsia="宋体" w:cs="宋体"/>
          <w:b/>
          <w:bCs/>
          <w:color w:val="000000"/>
          <w:sz w:val="32"/>
          <w:szCs w:val="32"/>
        </w:rPr>
        <w:t>甲  方：</w:t>
      </w:r>
    </w:p>
    <w:p w14:paraId="0E278E67">
      <w:pPr>
        <w:ind w:firstLine="1606" w:firstLineChars="500"/>
        <w:rPr>
          <w:rFonts w:hint="eastAsia" w:ascii="宋体" w:hAnsi="宋体" w:eastAsia="宋体" w:cs="宋体"/>
          <w:b/>
          <w:bCs/>
          <w:color w:val="000000"/>
          <w:sz w:val="32"/>
          <w:szCs w:val="32"/>
        </w:rPr>
      </w:pPr>
      <w:r>
        <w:rPr>
          <w:rFonts w:hint="eastAsia" w:ascii="宋体" w:hAnsi="宋体" w:eastAsia="宋体" w:cs="宋体"/>
          <w:b/>
          <w:bCs/>
          <w:color w:val="000000"/>
          <w:sz w:val="32"/>
          <w:szCs w:val="32"/>
        </w:rPr>
        <w:t>乙  方：</w:t>
      </w:r>
    </w:p>
    <w:p w14:paraId="40E85625">
      <w:pPr>
        <w:ind w:firstLine="1606" w:firstLineChars="500"/>
        <w:rPr>
          <w:rFonts w:hint="eastAsia" w:ascii="宋体" w:hAnsi="宋体" w:eastAsia="宋体" w:cs="宋体"/>
          <w:b/>
          <w:bCs/>
          <w:color w:val="000000"/>
          <w:sz w:val="32"/>
          <w:szCs w:val="32"/>
        </w:rPr>
      </w:pPr>
    </w:p>
    <w:p w14:paraId="3E9F5297">
      <w:pPr>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年  月</w:t>
      </w:r>
    </w:p>
    <w:p w14:paraId="2028FBD6">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36359563">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1D489B4E">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0DEB501B">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50B13B3E">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6A389062">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38946E01">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17A92D7C">
      <w:pPr>
        <w:keepNext w:val="0"/>
        <w:keepLines w:val="0"/>
        <w:widowControl/>
        <w:suppressLineNumbers w:val="0"/>
        <w:jc w:val="center"/>
        <w:rPr>
          <w:rFonts w:hint="eastAsia" w:ascii="宋体" w:hAnsi="宋体" w:eastAsia="宋体" w:cs="宋体"/>
          <w:b w:val="0"/>
          <w:bCs w:val="0"/>
        </w:rPr>
      </w:pPr>
      <w:r>
        <w:rPr>
          <w:rFonts w:hint="eastAsia" w:ascii="宋体" w:hAnsi="宋体" w:eastAsia="宋体" w:cs="宋体"/>
          <w:b w:val="0"/>
          <w:bCs w:val="0"/>
          <w:color w:val="000000"/>
          <w:kern w:val="0"/>
          <w:sz w:val="36"/>
          <w:szCs w:val="36"/>
          <w:lang w:val="en-US" w:eastAsia="zh-CN" w:bidi="ar"/>
        </w:rPr>
        <w:t>合同（参考）</w:t>
      </w:r>
    </w:p>
    <w:p w14:paraId="6CBC96BB">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微软雅黑" w:hAnsi="微软雅黑" w:eastAsia="微软雅黑" w:cs="微软雅黑"/>
          <w:b/>
          <w:bCs/>
          <w:color w:val="auto"/>
          <w:sz w:val="24"/>
          <w:szCs w:val="24"/>
          <w:highlight w:val="none"/>
          <w:lang w:val="zh-CN"/>
        </w:rPr>
      </w:pPr>
      <w:r>
        <w:rPr>
          <w:rFonts w:hint="eastAsia" w:ascii="微软雅黑" w:hAnsi="微软雅黑" w:eastAsia="微软雅黑" w:cs="微软雅黑"/>
          <w:b/>
          <w:color w:val="auto"/>
          <w:highlight w:val="none"/>
        </w:rPr>
        <w:t>（此合同仅供参考，以最终采购人与中标人签定的合同条款为准进行公示，最终签定合同的主要条款不能与招标文件有冲突。）</w:t>
      </w:r>
    </w:p>
    <w:p w14:paraId="3D9550E8">
      <w:pPr>
        <w:tabs>
          <w:tab w:val="left" w:pos="480"/>
        </w:tabs>
        <w:spacing w:line="360" w:lineRule="auto"/>
        <w:rPr>
          <w:rFonts w:hint="eastAsia" w:ascii="宋体" w:hAnsi="宋体" w:eastAsia="宋体" w:cs="宋体"/>
          <w:b w:val="0"/>
          <w:bCs w:val="0"/>
          <w:szCs w:val="21"/>
          <w:lang w:val="en-US" w:eastAsia="zh-CN"/>
        </w:rPr>
      </w:pPr>
    </w:p>
    <w:p w14:paraId="760F94D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甲方（采购人）： </w:t>
      </w:r>
    </w:p>
    <w:p w14:paraId="75816BA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乙方（成交供应商）： </w:t>
      </w:r>
    </w:p>
    <w:p w14:paraId="10876FEB">
      <w:pPr>
        <w:tabs>
          <w:tab w:val="left" w:pos="480"/>
        </w:tabs>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经济困难家庭重度和完全失能老年人居家上门服务项目  (采购项目编号：sxzs-zb26-03</w:t>
      </w:r>
      <w:r>
        <w:rPr>
          <w:rFonts w:hint="eastAsia" w:ascii="宋体" w:hAnsi="宋体" w:cs="宋体"/>
          <w:b w:val="0"/>
          <w:bCs w:val="0"/>
          <w:szCs w:val="21"/>
          <w:highlight w:val="none"/>
          <w:lang w:val="en-US" w:eastAsia="zh-CN"/>
        </w:rPr>
        <w:t>，</w:t>
      </w:r>
      <w:bookmarkStart w:id="0" w:name="_GoBack"/>
      <w:bookmarkEnd w:id="0"/>
      <w:r>
        <w:rPr>
          <w:rFonts w:hint="eastAsia" w:ascii="宋体" w:hAnsi="宋体" w:eastAsia="宋体" w:cs="宋体"/>
          <w:b w:val="0"/>
          <w:bCs w:val="0"/>
          <w:szCs w:val="21"/>
          <w:highlight w:val="none"/>
          <w:lang w:val="en-US" w:eastAsia="zh-CN"/>
        </w:rPr>
        <w:t xml:space="preserve">富平县民政局以下简称 “甲方”)确定 （以下简称“乙方”）为该项目中标供应商，接受乙方在经济困难家庭重度和完全失能老年人居家上门服务项目中提供的产品及服务。 </w:t>
      </w:r>
    </w:p>
    <w:p w14:paraId="54AAC7CD">
      <w:pPr>
        <w:tabs>
          <w:tab w:val="left" w:pos="480"/>
        </w:tabs>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 xml:space="preserve">依据《中华人民共和国民法典》和《中华人民共和国政府采购法》，经双方协商 按下述条款和条件签署本合同。 </w:t>
      </w:r>
    </w:p>
    <w:p w14:paraId="2179B844">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一、合同价款 </w:t>
      </w:r>
    </w:p>
    <w:p w14:paraId="179A040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（一）合同总价款为人民币（大写）：</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 xml:space="preserve">  （￥:</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 xml:space="preserve">）。 </w:t>
      </w:r>
    </w:p>
    <w:p w14:paraId="795CCDC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（二）合同总价一次性包死，不受市场价格变化因素的影响。 </w:t>
      </w:r>
    </w:p>
    <w:p w14:paraId="56103292">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二、款项结算 </w:t>
      </w:r>
    </w:p>
    <w:p w14:paraId="43447C70">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（一）付款方式：合同签订生效后,最终按签订合同总人数据实结算（总人数*最终报价</w:t>
      </w:r>
      <w:r>
        <w:rPr>
          <w:rFonts w:hint="eastAsia" w:ascii="宋体" w:hAnsi="宋体" w:eastAsia="宋体" w:cs="宋体"/>
          <w:b w:val="0"/>
          <w:bCs w:val="0"/>
          <w:color w:val="auto"/>
          <w:szCs w:val="21"/>
          <w:u w:val="single"/>
          <w:lang w:val="en-US" w:eastAsia="zh-CN"/>
        </w:rPr>
        <w:t xml:space="preserve">     元/年/人</w:t>
      </w:r>
      <w:r>
        <w:rPr>
          <w:rFonts w:hint="eastAsia" w:ascii="宋体" w:hAnsi="宋体" w:eastAsia="宋体" w:cs="宋体"/>
          <w:b w:val="0"/>
          <w:bCs w:val="0"/>
          <w:color w:val="auto"/>
          <w:szCs w:val="21"/>
          <w:lang w:val="en-US" w:eastAsia="zh-CN"/>
        </w:rPr>
        <w:t xml:space="preserve">）。 </w:t>
      </w:r>
    </w:p>
    <w:p w14:paraId="17DC1F90">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 xml:space="preserve">（二）支付方式：银行转账。 </w:t>
      </w:r>
    </w:p>
    <w:p w14:paraId="36EC67AF">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（三）结算方式：</w:t>
      </w:r>
      <w:r>
        <w:rPr>
          <w:rFonts w:hint="eastAsia" w:ascii="宋体" w:hAnsi="宋体" w:eastAsia="宋体" w:cs="宋体"/>
          <w:b w:val="0"/>
          <w:bCs w:val="0"/>
          <w:color w:val="auto"/>
          <w:szCs w:val="21"/>
          <w:u w:val="single"/>
          <w:lang w:val="en-US" w:eastAsia="zh-CN"/>
        </w:rPr>
        <w:t xml:space="preserve">                          </w:t>
      </w:r>
      <w:r>
        <w:rPr>
          <w:rFonts w:hint="eastAsia" w:ascii="宋体" w:hAnsi="宋体" w:eastAsia="宋体" w:cs="宋体"/>
          <w:b w:val="0"/>
          <w:bCs w:val="0"/>
          <w:color w:val="auto"/>
          <w:szCs w:val="21"/>
          <w:lang w:val="en-US" w:eastAsia="zh-CN"/>
        </w:rPr>
        <w:t xml:space="preserve">。 </w:t>
      </w:r>
    </w:p>
    <w:p w14:paraId="58FF4495">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三、服务地点及服务期 </w:t>
      </w:r>
    </w:p>
    <w:p w14:paraId="02508DCE">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（一）项目服务地点：采购人指定地点。 </w:t>
      </w:r>
    </w:p>
    <w:p w14:paraId="50D2A6DF">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（二）服务期：6个月。 </w:t>
      </w:r>
    </w:p>
    <w:p w14:paraId="4E0E89E7">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四、服务内容及承诺 </w:t>
      </w:r>
    </w:p>
    <w:p w14:paraId="7785D454">
      <w:pPr>
        <w:tabs>
          <w:tab w:val="left" w:pos="480"/>
        </w:tabs>
        <w:spacing w:line="360" w:lineRule="auto"/>
        <w:rPr>
          <w:rFonts w:hint="eastAsia" w:ascii="宋体" w:hAnsi="宋体" w:eastAsia="宋体" w:cs="宋体"/>
          <w:b/>
          <w:bCs/>
          <w:szCs w:val="21"/>
        </w:rPr>
      </w:pPr>
      <w:r>
        <w:rPr>
          <w:rFonts w:hint="eastAsia" w:ascii="宋体" w:hAnsi="宋体" w:eastAsia="宋体" w:cs="宋体"/>
          <w:b w:val="0"/>
          <w:bCs w:val="0"/>
          <w:szCs w:val="21"/>
          <w:lang w:val="en-US" w:eastAsia="zh-CN"/>
        </w:rPr>
        <w:t>以磋商文件、响应文件、合同等相关文件为准。</w:t>
      </w:r>
      <w:r>
        <w:rPr>
          <w:rFonts w:hint="eastAsia" w:ascii="宋体" w:hAnsi="宋体" w:eastAsia="宋体" w:cs="宋体"/>
          <w:b/>
          <w:bCs/>
          <w:szCs w:val="21"/>
          <w:lang w:val="en-US" w:eastAsia="zh-CN"/>
        </w:rPr>
        <w:t xml:space="preserve"> </w:t>
      </w:r>
    </w:p>
    <w:p w14:paraId="646DC341">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五、合同条款及附件 </w:t>
      </w:r>
    </w:p>
    <w:p w14:paraId="51D9D217">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（一）合同条款 </w:t>
      </w:r>
    </w:p>
    <w:p w14:paraId="037F7D5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（二）合同条款附件 </w:t>
      </w:r>
    </w:p>
    <w:p w14:paraId="33730421">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附件 1—服务内容与说明 </w:t>
      </w:r>
    </w:p>
    <w:p w14:paraId="6F7B118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附件 2—服务方案 </w:t>
      </w:r>
    </w:p>
    <w:p w14:paraId="113ED48E">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（三）成交通知书</w:t>
      </w:r>
    </w:p>
    <w:p w14:paraId="3A133A8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（四）磋商文件 </w:t>
      </w:r>
    </w:p>
    <w:p w14:paraId="753EF4D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（五）响应文件 </w:t>
      </w:r>
    </w:p>
    <w:p w14:paraId="1996BF99">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六、合同双方的权利和义务 </w:t>
      </w:r>
    </w:p>
    <w:p w14:paraId="3FF404D6">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（一）甲方的权利和义务 </w:t>
      </w:r>
    </w:p>
    <w:p w14:paraId="5135D8E2">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1、甲方有权对合同规定范围内乙方的服务行为进行监督和检查，拥有监管权。有权定期核对乙方提供服务所配备的人员数量。对甲方认为不合理的部分有权下达整改通知书，并要求乙方限期整改。 </w:t>
      </w:r>
    </w:p>
    <w:p w14:paraId="7489064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2、甲方有权对投保人员参保情况进行定期检查。 </w:t>
      </w:r>
    </w:p>
    <w:p w14:paraId="0B00829C">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3、乙方应在合同签订后立即启动合同工作内容，并保证在本合同执行过程中根据甲方的实际情况，向甲方提供符合国家有关法规和行业规范的服务。 </w:t>
      </w:r>
    </w:p>
    <w:p w14:paraId="3EDCA6E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4、根据本合同规定，按时向乙方支付应付服务费用。 </w:t>
      </w:r>
    </w:p>
    <w:p w14:paraId="16B5194F">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5、国家法律、法规所规定由甲方承担的其它责任。 </w:t>
      </w:r>
    </w:p>
    <w:p w14:paraId="034DF636">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（二）乙方的权利和义务 </w:t>
      </w:r>
    </w:p>
    <w:p w14:paraId="73B30F22">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1、对本合同规定的委托服务范围内的项目享有管理权及服务义务。 </w:t>
      </w:r>
    </w:p>
    <w:p w14:paraId="5C13DC9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2、根据本合同的规定向甲方收取相关服务费用，并有权在本项目管理范围内管理及合理使用。 </w:t>
      </w:r>
    </w:p>
    <w:p w14:paraId="0CFC837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3、及时向甲方通告本项目服务范围内有关服务的重大事项，及时配合处理投诉。 </w:t>
      </w:r>
    </w:p>
    <w:p w14:paraId="2779561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4、接受项目行业管理部门及政府有关部门的指导，接受甲方的监督。 </w:t>
      </w:r>
    </w:p>
    <w:p w14:paraId="16E65C6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5、国家法律、法规所规定由乙方承担的其它责任。 </w:t>
      </w:r>
    </w:p>
    <w:p w14:paraId="48E1C64C">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七、乙方违约责任 </w:t>
      </w:r>
    </w:p>
    <w:p w14:paraId="16883B4D">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1、不按约定时间开始承担保险责任。 </w:t>
      </w:r>
    </w:p>
    <w:p w14:paraId="465D749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2、保险人不向投保人说明保险合同条款的内容，尤其是责任免除条款未向投保人明确说明。 </w:t>
      </w:r>
    </w:p>
    <w:p w14:paraId="567AA1F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3、不按合同约定对保险标的的安全状况进行检查，并及时向投保人、被保险人提出消除不安全因素和隐患的书面建议。 </w:t>
      </w:r>
    </w:p>
    <w:p w14:paraId="7D84EF8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4、在保险有效期间，未经投保人和被保险人的同意擅自批单变更合同内容。 </w:t>
      </w:r>
    </w:p>
    <w:p w14:paraId="1E0B49DB">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5、保险事故发生后，不履行合同约定责任范围内的保险赔付，不及时核损支付赔款。 </w:t>
      </w:r>
    </w:p>
    <w:p w14:paraId="1A0AFEA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6、若保险人单方面终止合同或逾期完成合同任务，则视为保险人违约，保险人违约应按照合同总金额的双倍金额向投标人或被保险人支付违约金；</w:t>
      </w:r>
    </w:p>
    <w:p w14:paraId="3E97EE0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7、保险人应当及时理赔、核定损失并履行赔偿或给付保险金，如果未及时履行前 述义务，保险人除给付保险金外，应当赔偿投标人或被保险人因此收到的损失。 </w:t>
      </w:r>
    </w:p>
    <w:p w14:paraId="5A4C53CE">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八、合同的变更与解除 </w:t>
      </w:r>
    </w:p>
    <w:p w14:paraId="6B8DD81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1、本合同的变更必须由双方协商一致，并以书面形式确定。但有下列情形之一的，一方可以向另一方提出变更合同权利与义务的请求，另一方应当在十日内予以答复；逾期未予答复的，视为同意： </w:t>
      </w:r>
    </w:p>
    <w:p w14:paraId="29B71D3C">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（1）项目发生严重的技术风险； </w:t>
      </w:r>
    </w:p>
    <w:p w14:paraId="29A0399C">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（2）本合同签署后，国家相关法规政策的变动导致项目的实施发生变动，需要补充约定的。 </w:t>
      </w:r>
    </w:p>
    <w:p w14:paraId="5E7FDCD1">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2、双方确定，出现下列情形，致使本合同的履行成为不必要或不可能的，可以解除本合同： </w:t>
      </w:r>
    </w:p>
    <w:p w14:paraId="62666EA7">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（1）因发生不可抗力； </w:t>
      </w:r>
    </w:p>
    <w:p w14:paraId="214F206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（2）因国家相关法规政策的变动导致项目无法完成 ； </w:t>
      </w:r>
    </w:p>
    <w:p w14:paraId="6CAA46AB">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（3）无论何等原因，合同一方未能履行本合同规定的主要义务，守约方有权解除。 </w:t>
      </w:r>
    </w:p>
    <w:p w14:paraId="719C3FF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3、双方协商一致可以解除本合同。 </w:t>
      </w:r>
    </w:p>
    <w:p w14:paraId="5ED3B8EA">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九、合同争议解决的方式 </w:t>
      </w:r>
    </w:p>
    <w:p w14:paraId="457F5C03">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本合同在履行过程中发生的争议，由甲、乙双方当事人协商解决，协商不成的按 下列第（二）种方式解决： </w:t>
      </w:r>
    </w:p>
    <w:p w14:paraId="068CF11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（一）提交渭南仲裁委员会仲裁； </w:t>
      </w:r>
    </w:p>
    <w:p w14:paraId="483221D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（二）依法向甲方所在地人民法院起诉。 </w:t>
      </w:r>
    </w:p>
    <w:p w14:paraId="5D07A806">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十、其他 </w:t>
      </w:r>
    </w:p>
    <w:p w14:paraId="7BCAF3E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（一）乙方在日常服务、索赔过程中的过失或疏忽或其它任何违反本合同的行为所造成的后果，由乙方统一承担； </w:t>
      </w:r>
    </w:p>
    <w:p w14:paraId="136C975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（二）本合同项下双方相互提供的文件、资料，双方除为履行合同的目的外，均不得泄漏给其他方； </w:t>
      </w:r>
    </w:p>
    <w:p w14:paraId="7C17AD37">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（三）任何一方向其他方提出的函电通知和要求，按合同地址派员递送或挂号、传真发送的，在取得对方人员接收确认后，即被认为已经被正式接收； </w:t>
      </w:r>
    </w:p>
    <w:p w14:paraId="1B75107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（四）承保人在接到出单通知后，按照出单通知书提供的保险信息出具保单，保单由经纪人审核无误后，送交各方； </w:t>
      </w:r>
    </w:p>
    <w:p w14:paraId="4C15035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（五）本合同未定事宜，双方可根据具体情况结合有关规定另行签订补充协议，补充协议与本合同具有同等法律效力。 </w:t>
      </w:r>
    </w:p>
    <w:p w14:paraId="4792472E">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十一、合同生效 </w:t>
      </w:r>
    </w:p>
    <w:p w14:paraId="2323BD22">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（一）本合同经双方签字盖章后生效。 </w:t>
      </w:r>
    </w:p>
    <w:p w14:paraId="1B500C8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（二）本合同须经甲、乙双方的法定代表人（授权代理人）在合同书上签字并加 盖本单位公章后正式生效。 </w:t>
      </w:r>
    </w:p>
    <w:p w14:paraId="152654D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（三）合同生效后，甲、乙双方须严格执行本合同条款的规定，全面履行合同，违者按《中华人民共和国民法典》的有关规定承担相应责任。 </w:t>
      </w:r>
    </w:p>
    <w:p w14:paraId="341A3386">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（四）本合同一式</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份，甲乙双方各执</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份，鉴证方执</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 xml:space="preserve">份。 </w:t>
      </w:r>
    </w:p>
    <w:p w14:paraId="7F0A834D">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（五）本合同如有未尽事宜，甲、乙双方协商解决。 </w:t>
      </w:r>
    </w:p>
    <w:p w14:paraId="37FE9113">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（以下无正文）</w:t>
      </w:r>
    </w:p>
    <w:p w14:paraId="6211477E">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甲  方（盖章）                             乙  方（盖章）</w:t>
      </w:r>
    </w:p>
    <w:p w14:paraId="7E9C85C5">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单位名称：                                 单位名称：</w:t>
      </w:r>
    </w:p>
    <w:p w14:paraId="157B802D">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地  址：                                   地  址：</w:t>
      </w:r>
    </w:p>
    <w:p w14:paraId="3BCAE4F7">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法定代表人                                 法定代表人</w:t>
      </w:r>
    </w:p>
    <w:p w14:paraId="0FA439D4">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或授权委托人（签字或盖章）：               或授权委托人（签字或盖章）：</w:t>
      </w:r>
    </w:p>
    <w:p w14:paraId="65B001B1">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 xml:space="preserve">                                           开户银行：</w:t>
      </w:r>
    </w:p>
    <w:p w14:paraId="61759300">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 xml:space="preserve">                                           账  号：       </w:t>
      </w:r>
    </w:p>
    <w:p w14:paraId="423EE644">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联系电话：                                 联系电话：</w:t>
      </w:r>
    </w:p>
    <w:p w14:paraId="53A3D5A3">
      <w:pPr>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签订日期：     年    月      日            签订日期：     年    月   日</w:t>
      </w:r>
    </w:p>
    <w:p w14:paraId="23EF15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2C6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uiPriority w:val="0"/>
    <w:pPr>
      <w:keepNext/>
      <w:keepLines/>
      <w:widowControl w:val="0"/>
      <w:adjustRightInd w:val="0"/>
      <w:spacing w:before="280" w:after="290" w:line="376" w:lineRule="atLeast"/>
      <w:textAlignment w:val="baseline"/>
      <w:outlineLvl w:val="3"/>
    </w:pPr>
    <w:rPr>
      <w:rFonts w:ascii="Arial" w:hAnsi="Arial"/>
      <w:b/>
      <w:spacing w:val="20"/>
      <w:sz w:val="28"/>
      <w:szCs w:val="20"/>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lock Text"/>
    <w:basedOn w:val="1"/>
    <w:qFormat/>
    <w:uiPriority w:val="0"/>
    <w:pPr>
      <w:spacing w:after="120" w:afterLines="0" w:afterAutospacing="0"/>
      <w:ind w:left="1440" w:leftChars="700" w:rightChars="700"/>
    </w:pPr>
  </w:style>
  <w:style w:type="paragraph" w:styleId="4">
    <w:name w:val="footer"/>
    <w:basedOn w:val="1"/>
    <w:uiPriority w:val="0"/>
    <w:pPr>
      <w:tabs>
        <w:tab w:val="center" w:pos="4153"/>
        <w:tab w:val="right" w:pos="8306"/>
      </w:tabs>
      <w:snapToGrid w:val="0"/>
      <w:jc w:val="left"/>
    </w:pPr>
    <w:rPr>
      <w:sz w:val="18"/>
      <w:szCs w:val="18"/>
    </w:rPr>
  </w:style>
  <w:style w:type="paragraph" w:customStyle="1" w:styleId="7">
    <w:name w:val="样式 10 磅"/>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2026-02-12T19:01:50Z</dcterms:created>
  <dc:creator>lenovo</dc:creator>
  <cp:lastModifiedBy>九尾猫</cp:lastModifiedBy>
  <dcterms:modified xsi:type="dcterms:W3CDTF">2026-02-12T19:04:28Z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eyJoZGlkIjoiZjFhY2NmMmU1YjEwNTJkYzQyOGMxOWNjOWI2YjhjNjQiLCJ1c2VySWQiOiIyOTc2MTAyNzkifQ==</vt:lpwstr>
  </property>
  <property fmtid="{D5CDD505-2E9C-101B-9397-08002B2CF9AE}" pid="4" name="ICV">
    <vt:lpwstr>D305074AEAAB4AAC8C9FC1A1954F486F_12</vt:lpwstr>
  </property>
</Properties>
</file>