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版本号：FT2026-CGZB-02280120260303002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2025年樱桃避雨设施建设项目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FT2026-CGZB-022801</w:t>
      </w:r>
      <w:r>
        <w:br/>
      </w:r>
      <w:r>
        <w:br/>
      </w:r>
      <w:r>
        <w:br/>
      </w:r>
    </w:p>
    <w:p>
      <w:pPr>
        <w:pStyle w:val="null3"/>
        <w:jc w:val="center"/>
        <w:outlineLvl w:val="2"/>
      </w:pPr>
      <w:r>
        <w:rPr>
          <w:rFonts w:ascii="仿宋_GB2312" w:hAnsi="仿宋_GB2312" w:cs="仿宋_GB2312" w:eastAsia="仿宋_GB2312"/>
          <w:sz w:val="28"/>
          <w:b/>
        </w:rPr>
        <w:t>富平县果业发展中心</w:t>
      </w:r>
    </w:p>
    <w:p>
      <w:pPr>
        <w:pStyle w:val="null3"/>
        <w:jc w:val="center"/>
        <w:outlineLvl w:val="2"/>
      </w:pPr>
      <w:r>
        <w:rPr>
          <w:rFonts w:ascii="仿宋_GB2312" w:hAnsi="仿宋_GB2312" w:cs="仿宋_GB2312" w:eastAsia="仿宋_GB2312"/>
          <w:sz w:val="28"/>
          <w:b/>
        </w:rPr>
        <w:t>陕西奋泰项目管理有限公司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陕西奋泰项目管理有限公司</w:t>
      </w:r>
      <w:r>
        <w:rPr>
          <w:rFonts w:ascii="仿宋_GB2312" w:hAnsi="仿宋_GB2312" w:cs="仿宋_GB2312" w:eastAsia="仿宋_GB2312"/>
        </w:rPr>
        <w:t>（以下简称“代理机构”）受</w:t>
      </w:r>
      <w:r>
        <w:rPr>
          <w:rFonts w:ascii="仿宋_GB2312" w:hAnsi="仿宋_GB2312" w:cs="仿宋_GB2312" w:eastAsia="仿宋_GB2312"/>
        </w:rPr>
        <w:t>富平县果业发展中心</w:t>
      </w:r>
      <w:r>
        <w:rPr>
          <w:rFonts w:ascii="仿宋_GB2312" w:hAnsi="仿宋_GB2312" w:cs="仿宋_GB2312" w:eastAsia="仿宋_GB2312"/>
        </w:rPr>
        <w:t>委托，拟对</w:t>
      </w:r>
      <w:r>
        <w:rPr>
          <w:rFonts w:ascii="仿宋_GB2312" w:hAnsi="仿宋_GB2312" w:cs="仿宋_GB2312" w:eastAsia="仿宋_GB2312"/>
        </w:rPr>
        <w:t>2025年樱桃避雨设施建设项目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FT2026-CGZB-022801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2025年樱桃避雨设施建设项目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建设内容为：在梅家坪镇车家村、新安村实施樱桃防雨棚的新建与修缮工程，总面积50亩。主要包括1.新建高标准樱桃防雨棚18.6亩，形成结构稳固、功能完善的防雨生产设施；2.对既有老旧棚体进行系统性修缮共计31.4亩，快速恢复并提升其防灾功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采购包1（2025年樱桃避雨设施建设项目）：属于专门面向中小企业采购。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1、营业执照：合法注册的企业提供营业执照（有统一社会信用代码）并附企业年度报告；事业法人提供事业单位法人证书、组织机构代码证书；其他组织应提供合法证明文件； 自然人提供身份证；</w:t>
      </w:r>
    </w:p>
    <w:p>
      <w:pPr>
        <w:pStyle w:val="null3"/>
      </w:pPr>
      <w:r>
        <w:rPr>
          <w:rFonts w:ascii="仿宋_GB2312" w:hAnsi="仿宋_GB2312" w:cs="仿宋_GB2312" w:eastAsia="仿宋_GB2312"/>
        </w:rPr>
        <w:t>2、授权委托书：法定代表人授权委托书（附法定代表人、被授权人身份证复印件）；法定代表人参加投标只须提供法定代表人身份证明（附法定代表人身份证复印件）；</w:t>
      </w:r>
    </w:p>
    <w:p>
      <w:pPr>
        <w:pStyle w:val="null3"/>
      </w:pPr>
      <w:r>
        <w:rPr>
          <w:rFonts w:ascii="仿宋_GB2312" w:hAnsi="仿宋_GB2312" w:cs="仿宋_GB2312" w:eastAsia="仿宋_GB2312"/>
        </w:rPr>
        <w:t>3、企业资质：具备建筑工程施工总承包三级及以上资质；</w:t>
      </w:r>
    </w:p>
    <w:p>
      <w:pPr>
        <w:pStyle w:val="null3"/>
      </w:pPr>
      <w:r>
        <w:rPr>
          <w:rFonts w:ascii="仿宋_GB2312" w:hAnsi="仿宋_GB2312" w:cs="仿宋_GB2312" w:eastAsia="仿宋_GB2312"/>
        </w:rPr>
        <w:t>4、安全生产许可证：具有建设行政主管部门核发有效的安全生产许可证；</w:t>
      </w:r>
    </w:p>
    <w:p>
      <w:pPr>
        <w:pStyle w:val="null3"/>
      </w:pPr>
      <w:r>
        <w:rPr>
          <w:rFonts w:ascii="仿宋_GB2312" w:hAnsi="仿宋_GB2312" w:cs="仿宋_GB2312" w:eastAsia="仿宋_GB2312"/>
        </w:rPr>
        <w:t>5、项目经理：拟派项目经理具备建筑工程专业二级注册建造师及以上资格和有效的安全生产考核合格证书，提供项目经理无在建工程的相关证明材料或承诺书；</w:t>
      </w:r>
    </w:p>
    <w:p>
      <w:pPr>
        <w:pStyle w:val="null3"/>
      </w:pPr>
      <w:r>
        <w:rPr>
          <w:rFonts w:ascii="仿宋_GB2312" w:hAnsi="仿宋_GB2312" w:cs="仿宋_GB2312" w:eastAsia="仿宋_GB2312"/>
        </w:rPr>
        <w:t>6、财务状况报告：近三年经审计的财务报告（2023年-2025年）或在2025年12月1日至今其基本开户银行出具的资信证明或财政部门认可的政府采购专业担保机构出具的投标担保函（以上三种形式的资料提供任何一种即可）；并进行电子签章。 注：1.提供资信证明的供应商，需同时提供基本开户银行的证明材料；2.事业单位可不提供本项证明材料。</w:t>
      </w:r>
    </w:p>
    <w:p>
      <w:pPr>
        <w:pStyle w:val="null3"/>
      </w:pPr>
      <w:r>
        <w:rPr>
          <w:rFonts w:ascii="仿宋_GB2312" w:hAnsi="仿宋_GB2312" w:cs="仿宋_GB2312" w:eastAsia="仿宋_GB2312"/>
        </w:rPr>
        <w:t>7、缴纳税收：提供依法缴纳税收的良好记录（提供递交磋商响应文件截止时间前六个月内任意一个月份的缴纳凭据复印件并加盖单位公章。依法免税或开标前一年内零申报的供应商应提供相关证明文件）；</w:t>
      </w:r>
    </w:p>
    <w:p>
      <w:pPr>
        <w:pStyle w:val="null3"/>
      </w:pPr>
      <w:r>
        <w:rPr>
          <w:rFonts w:ascii="仿宋_GB2312" w:hAnsi="仿宋_GB2312" w:cs="仿宋_GB2312" w:eastAsia="仿宋_GB2312"/>
        </w:rPr>
        <w:t>8、社会保障资金缴纳证明：提供依法缴纳社会保障资金的良好记录（提供递交磋商响应文件截止时间前六个月内任意一个月份的缴纳凭据复印件并加盖单位公章。依法不需要缴纳社会保障资金的供应商应提供相关证明文件）；</w:t>
      </w:r>
    </w:p>
    <w:p>
      <w:pPr>
        <w:pStyle w:val="null3"/>
      </w:pPr>
      <w:r>
        <w:rPr>
          <w:rFonts w:ascii="仿宋_GB2312" w:hAnsi="仿宋_GB2312" w:cs="仿宋_GB2312" w:eastAsia="仿宋_GB2312"/>
        </w:rPr>
        <w:t>9、信誉情况：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附网站相关截图并加盖单位公章（最终以采购代理机构开标现场查询结果为准）；</w:t>
      </w:r>
    </w:p>
    <w:p>
      <w:pPr>
        <w:pStyle w:val="null3"/>
      </w:pPr>
      <w:r>
        <w:rPr>
          <w:rFonts w:ascii="仿宋_GB2312" w:hAnsi="仿宋_GB2312" w:cs="仿宋_GB2312" w:eastAsia="仿宋_GB2312"/>
        </w:rPr>
        <w:t>10、投标保证金：a.提供磋商保证金转账凭证和基本存款账户信息证明资料复印件或扫描件；b.提供金融机构、担保机构出具的保函复印件或扫描件；以上两种方式二选一，复印件或扫描件均须加盖公章；</w:t>
      </w:r>
    </w:p>
    <w:p>
      <w:pPr>
        <w:pStyle w:val="null3"/>
      </w:pPr>
      <w:r>
        <w:rPr>
          <w:rFonts w:ascii="仿宋_GB2312" w:hAnsi="仿宋_GB2312" w:cs="仿宋_GB2312" w:eastAsia="仿宋_GB2312"/>
        </w:rPr>
        <w:t>11、书面声明：提供参加本次政府采购活动前三年内在经营活动中没有重大违法记录的书面声明。</w:t>
      </w:r>
    </w:p>
    <w:p>
      <w:pPr>
        <w:pStyle w:val="null3"/>
      </w:pPr>
      <w:r>
        <w:rPr>
          <w:rFonts w:ascii="仿宋_GB2312" w:hAnsi="仿宋_GB2312" w:cs="仿宋_GB2312" w:eastAsia="仿宋_GB2312"/>
        </w:rPr>
        <w:t>12、说明及承诺：提供具有履行本合同所必需的设备和专业技术能力的说明及承诺；</w:t>
      </w:r>
    </w:p>
    <w:p>
      <w:pPr>
        <w:pStyle w:val="null3"/>
      </w:pPr>
      <w:r>
        <w:rPr>
          <w:rFonts w:ascii="仿宋_GB2312" w:hAnsi="仿宋_GB2312" w:cs="仿宋_GB2312" w:eastAsia="仿宋_GB2312"/>
        </w:rPr>
        <w:t>13、中小企业声明函：本项目专门面向中小企业采购，供应商提供《中小企业声明函》。</w:t>
      </w:r>
    </w:p>
    <w:p>
      <w:pPr>
        <w:pStyle w:val="null3"/>
      </w:pPr>
      <w:r>
        <w:rPr>
          <w:rFonts w:ascii="仿宋_GB2312" w:hAnsi="仿宋_GB2312" w:cs="仿宋_GB2312" w:eastAsia="仿宋_GB2312"/>
        </w:rPr>
        <w:t>14、非联合体声明：本项目不允许联合体(提供非联合体声明函)。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富平县果业发展中心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陕西省渭南市富平县莲湖大街政务服务中心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樊倩丽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0913-8210556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陕西奋泰项目管理有限公司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陕西省西安市未央区太华北路安徽大厦17楼1706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19929243271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开户名称：陕西奋泰项目管理有限公司</w:t>
            </w:r>
          </w:p>
          <w:p>
            <w:pPr>
              <w:pStyle w:val="null3"/>
            </w:pPr>
            <w:r>
              <w:rPr>
                <w:rFonts w:ascii="仿宋_GB2312" w:hAnsi="仿宋_GB2312" w:cs="仿宋_GB2312" w:eastAsia="仿宋_GB2312"/>
              </w:rPr>
              <w:t>开户银行：中国建设银行股份有限公司富平县东新街支行</w:t>
            </w:r>
          </w:p>
          <w:p>
            <w:pPr>
              <w:pStyle w:val="null3"/>
            </w:pPr>
            <w:r>
              <w:rPr>
                <w:rFonts w:ascii="仿宋_GB2312" w:hAnsi="仿宋_GB2312" w:cs="仿宋_GB2312" w:eastAsia="仿宋_GB2312"/>
              </w:rPr>
              <w:t>银行账号：61050164831500002007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印发《招标代理服务收费管理暂行办法》的通知（计价格〔2002〕1980号）计算，按国家规定标准收取，不计入工程造价，按照《国家发展改革委办公厅关于招标代理服务收费有关问题的通知》（发改办价格〔2003〕857号）规定向成交供应商收取。在领取成交通知书时向采购代理机构一次付清（现金或转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富平县果业发展中心</w:t>
      </w:r>
      <w:r>
        <w:rPr>
          <w:rFonts w:ascii="仿宋_GB2312" w:hAnsi="仿宋_GB2312" w:cs="仿宋_GB2312" w:eastAsia="仿宋_GB2312"/>
        </w:rPr>
        <w:t>和</w:t>
      </w:r>
      <w:r>
        <w:rPr>
          <w:rFonts w:ascii="仿宋_GB2312" w:hAnsi="仿宋_GB2312" w:cs="仿宋_GB2312" w:eastAsia="仿宋_GB2312"/>
        </w:rPr>
        <w:t>陕西奋泰项目管理有限公司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富平县果业发展中心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陕西奋泰项目管理有限公司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富平县果业发展中心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陕西奋泰项目管理有限公司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陕西奋泰项目管理有限公司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陕西奋泰项目管理有限公司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陕西奋泰项目管理有限公司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联系人：张蕾</w:t>
      </w:r>
    </w:p>
    <w:p>
      <w:pPr>
        <w:pStyle w:val="null3"/>
      </w:pPr>
      <w:r>
        <w:rPr>
          <w:rFonts w:ascii="仿宋_GB2312" w:hAnsi="仿宋_GB2312" w:cs="仿宋_GB2312" w:eastAsia="仿宋_GB2312"/>
        </w:rPr>
        <w:t>联系电话：19929243271</w:t>
      </w:r>
    </w:p>
    <w:p>
      <w:pPr>
        <w:pStyle w:val="null3"/>
      </w:pPr>
      <w:r>
        <w:rPr>
          <w:rFonts w:ascii="仿宋_GB2312" w:hAnsi="仿宋_GB2312" w:cs="仿宋_GB2312" w:eastAsia="仿宋_GB2312"/>
        </w:rPr>
        <w:t>地址：陕西省西安市未央区太华北路安徽大厦17楼1706</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1,495,875.04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2025年樱桃避雨设施建设项目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标的名称：2025年樱桃避雨设施建设项目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75"/>
              <w:jc w:val="center"/>
            </w:pPr>
            <w:r>
              <w:rPr>
                <w:rFonts w:ascii="仿宋_GB2312" w:hAnsi="仿宋_GB2312" w:cs="仿宋_GB2312" w:eastAsia="仿宋_GB2312"/>
                <w:sz w:val="24"/>
                <w:color w:val="000000"/>
              </w:rPr>
              <w:t>编</w:t>
            </w:r>
            <w:r>
              <w:rPr>
                <w:rFonts w:ascii="仿宋_GB2312" w:hAnsi="仿宋_GB2312" w:cs="仿宋_GB2312" w:eastAsia="仿宋_GB2312"/>
                <w:sz w:val="24"/>
              </w:rPr>
              <w:t xml:space="preserve"> </w:t>
            </w:r>
            <w:r>
              <w:rPr>
                <w:rFonts w:ascii="仿宋_GB2312" w:hAnsi="仿宋_GB2312" w:cs="仿宋_GB2312" w:eastAsia="仿宋_GB2312"/>
                <w:sz w:val="24"/>
                <w:color w:val="000000"/>
              </w:rPr>
              <w:t>制</w:t>
            </w:r>
            <w:r>
              <w:rPr>
                <w:rFonts w:ascii="仿宋_GB2312" w:hAnsi="仿宋_GB2312" w:cs="仿宋_GB2312" w:eastAsia="仿宋_GB2312"/>
                <w:sz w:val="24"/>
              </w:rPr>
              <w:t xml:space="preserve"> </w:t>
            </w:r>
            <w:r>
              <w:rPr>
                <w:rFonts w:ascii="仿宋_GB2312" w:hAnsi="仿宋_GB2312" w:cs="仿宋_GB2312" w:eastAsia="仿宋_GB2312"/>
                <w:sz w:val="24"/>
                <w:color w:val="000000"/>
              </w:rPr>
              <w:t>说</w:t>
            </w:r>
            <w:r>
              <w:rPr>
                <w:rFonts w:ascii="仿宋_GB2312" w:hAnsi="仿宋_GB2312" w:cs="仿宋_GB2312" w:eastAsia="仿宋_GB2312"/>
                <w:sz w:val="24"/>
                <w:color w:val="000000"/>
              </w:rPr>
              <w:t>明</w:t>
            </w:r>
          </w:p>
          <w:p>
            <w:pPr>
              <w:pStyle w:val="null3"/>
              <w:spacing w:before="240"/>
              <w:ind w:left="105"/>
            </w:pPr>
            <w:r>
              <w:rPr>
                <w:rFonts w:ascii="仿宋_GB2312" w:hAnsi="仿宋_GB2312" w:cs="仿宋_GB2312" w:eastAsia="仿宋_GB2312"/>
                <w:sz w:val="24"/>
                <w:color w:val="000000"/>
              </w:rPr>
              <w:t>一、工程概况：</w:t>
            </w:r>
          </w:p>
          <w:p>
            <w:pPr>
              <w:pStyle w:val="null3"/>
              <w:spacing w:before="270"/>
              <w:ind w:left="105" w:right="150" w:firstLine="393"/>
            </w:pPr>
            <w:r>
              <w:rPr>
                <w:rFonts w:ascii="仿宋_GB2312" w:hAnsi="仿宋_GB2312" w:cs="仿宋_GB2312" w:eastAsia="仿宋_GB2312"/>
                <w:sz w:val="24"/>
                <w:color w:val="000000"/>
              </w:rPr>
              <w:t>2025年樱桃避雨设施建设项目</w:t>
            </w:r>
            <w:r>
              <w:rPr>
                <w:rFonts w:ascii="仿宋_GB2312" w:hAnsi="仿宋_GB2312" w:cs="仿宋_GB2312" w:eastAsia="仿宋_GB2312"/>
                <w:sz w:val="24"/>
                <w:color w:val="000000"/>
              </w:rPr>
              <w:t>，</w:t>
            </w:r>
            <w:r>
              <w:rPr>
                <w:rFonts w:ascii="仿宋_GB2312" w:hAnsi="仿宋_GB2312" w:cs="仿宋_GB2312" w:eastAsia="仿宋_GB2312"/>
                <w:sz w:val="24"/>
                <w:color w:val="000000"/>
              </w:rPr>
              <w:t>本项目主要建设内容为：在梅家坪镇车家村、新安村实施樱桃防雨棚的新建与修缮工程，总面积50亩。主要包括1.新建高标准樱桃防雨棚18.6亩，形成结构稳固、功能完善的防雨生产设施；2.对既有老旧棚体进行系统性修缮共计31.4亩，快速恢复并提升其防灾功能。</w:t>
            </w:r>
          </w:p>
          <w:p>
            <w:pPr>
              <w:pStyle w:val="null3"/>
              <w:spacing w:before="120"/>
              <w:ind w:left="105"/>
            </w:pPr>
            <w:r>
              <w:rPr>
                <w:rFonts w:ascii="仿宋_GB2312" w:hAnsi="仿宋_GB2312" w:cs="仿宋_GB2312" w:eastAsia="仿宋_GB2312"/>
                <w:sz w:val="24"/>
                <w:color w:val="000000"/>
              </w:rPr>
              <w:t>二、编制依据：</w:t>
            </w:r>
          </w:p>
          <w:p>
            <w:pPr>
              <w:pStyle w:val="null3"/>
              <w:spacing w:before="270"/>
              <w:ind w:left="105" w:right="150" w:firstLine="393"/>
            </w:pPr>
            <w:r>
              <w:rPr>
                <w:rFonts w:ascii="仿宋_GB2312" w:hAnsi="仿宋_GB2312" w:cs="仿宋_GB2312" w:eastAsia="仿宋_GB2312"/>
                <w:sz w:val="24"/>
                <w:color w:val="000000"/>
              </w:rPr>
              <w:t>1. 施工设计图纸及相关资料</w:t>
            </w:r>
            <w:r>
              <w:rPr>
                <w:rFonts w:ascii="仿宋_GB2312" w:hAnsi="仿宋_GB2312" w:cs="仿宋_GB2312" w:eastAsia="仿宋_GB2312"/>
                <w:sz w:val="24"/>
                <w:color w:val="000000"/>
              </w:rPr>
              <w:t>；</w:t>
            </w:r>
          </w:p>
          <w:p>
            <w:pPr>
              <w:pStyle w:val="null3"/>
              <w:spacing w:before="270"/>
              <w:ind w:left="105" w:right="150" w:firstLine="393"/>
            </w:pPr>
            <w:r>
              <w:rPr>
                <w:rFonts w:ascii="仿宋_GB2312" w:hAnsi="仿宋_GB2312" w:cs="仿宋_GB2312" w:eastAsia="仿宋_GB2312"/>
                <w:sz w:val="24"/>
                <w:color w:val="000000"/>
              </w:rPr>
              <w:t>2.《陕西省建设工程工程量清单计价规则（2025）》</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《陕西省建筑、安装、市政、园林绿化工程消耗量定额（2025）》</w:t>
            </w:r>
            <w:r>
              <w:rPr>
                <w:rFonts w:ascii="仿宋_GB2312" w:hAnsi="仿宋_GB2312" w:cs="仿宋_GB2312" w:eastAsia="仿宋_GB2312"/>
                <w:sz w:val="24"/>
                <w:color w:val="000000"/>
              </w:rPr>
              <w:t>、</w:t>
            </w:r>
            <w:r>
              <w:rPr>
                <w:rFonts w:ascii="仿宋_GB2312" w:hAnsi="仿宋_GB2312" w:cs="仿宋_GB2312" w:eastAsia="仿宋_GB2312"/>
                <w:sz w:val="24"/>
                <w:color w:val="000000"/>
              </w:rPr>
              <w:t>《陕西省建筑装饰工程基价表（</w:t>
            </w:r>
            <w:r>
              <w:rPr>
                <w:rFonts w:ascii="仿宋_GB2312" w:hAnsi="仿宋_GB2312" w:cs="仿宋_GB2312" w:eastAsia="仿宋_GB2312"/>
                <w:sz w:val="24"/>
                <w:color w:val="000000"/>
              </w:rPr>
              <w:t>2025）》</w:t>
            </w:r>
            <w:r>
              <w:rPr>
                <w:rFonts w:ascii="仿宋_GB2312" w:hAnsi="仿宋_GB2312" w:cs="仿宋_GB2312" w:eastAsia="仿宋_GB2312"/>
                <w:sz w:val="24"/>
                <w:color w:val="000000"/>
              </w:rPr>
              <w:t>、</w:t>
            </w:r>
            <w:r>
              <w:rPr>
                <w:rFonts w:ascii="仿宋_GB2312" w:hAnsi="仿宋_GB2312" w:cs="仿宋_GB2312" w:eastAsia="仿宋_GB2312"/>
                <w:sz w:val="24"/>
                <w:color w:val="000000"/>
              </w:rPr>
              <w:t>《陕西省建设工程工程量清单计价费率（</w:t>
            </w:r>
            <w:r>
              <w:rPr>
                <w:rFonts w:ascii="仿宋_GB2312" w:hAnsi="仿宋_GB2312" w:cs="仿宋_GB2312" w:eastAsia="仿宋_GB2312"/>
                <w:sz w:val="24"/>
                <w:color w:val="000000"/>
              </w:rPr>
              <w:t>2025）》及</w:t>
            </w:r>
            <w:r>
              <w:rPr>
                <w:rFonts w:ascii="仿宋_GB2312" w:hAnsi="仿宋_GB2312" w:cs="仿宋_GB2312" w:eastAsia="仿宋_GB2312"/>
                <w:sz w:val="24"/>
                <w:color w:val="000000"/>
              </w:rPr>
              <w:t>相关</w:t>
            </w:r>
            <w:r>
              <w:rPr>
                <w:rFonts w:ascii="仿宋_GB2312" w:hAnsi="仿宋_GB2312" w:cs="仿宋_GB2312" w:eastAsia="仿宋_GB2312"/>
                <w:sz w:val="24"/>
                <w:color w:val="000000"/>
              </w:rPr>
              <w:t>配套文件</w:t>
            </w:r>
            <w:r>
              <w:rPr>
                <w:rFonts w:ascii="仿宋_GB2312" w:hAnsi="仿宋_GB2312" w:cs="仿宋_GB2312" w:eastAsia="仿宋_GB2312"/>
                <w:sz w:val="24"/>
                <w:color w:val="000000"/>
              </w:rPr>
              <w:t>；</w:t>
            </w:r>
          </w:p>
          <w:p>
            <w:pPr>
              <w:pStyle w:val="null3"/>
              <w:spacing w:before="270"/>
              <w:ind w:left="105" w:right="150" w:firstLine="393"/>
            </w:pPr>
            <w:r>
              <w:rPr>
                <w:rFonts w:ascii="仿宋_GB2312" w:hAnsi="仿宋_GB2312" w:cs="仿宋_GB2312" w:eastAsia="仿宋_GB2312"/>
                <w:sz w:val="24"/>
                <w:color w:val="000000"/>
              </w:rPr>
              <w:t>3.主要</w:t>
            </w:r>
            <w:r>
              <w:rPr>
                <w:rFonts w:ascii="仿宋_GB2312" w:hAnsi="仿宋_GB2312" w:cs="仿宋_GB2312" w:eastAsia="仿宋_GB2312"/>
                <w:sz w:val="24"/>
                <w:color w:val="000000"/>
              </w:rPr>
              <w:t>材料价格</w:t>
            </w:r>
            <w:r>
              <w:rPr>
                <w:rFonts w:ascii="仿宋_GB2312" w:hAnsi="仿宋_GB2312" w:cs="仿宋_GB2312" w:eastAsia="仿宋_GB2312"/>
                <w:sz w:val="24"/>
                <w:color w:val="000000"/>
              </w:rPr>
              <w:t>依据</w:t>
            </w:r>
            <w:r>
              <w:rPr>
                <w:rFonts w:ascii="仿宋_GB2312" w:hAnsi="仿宋_GB2312" w:cs="仿宋_GB2312" w:eastAsia="仿宋_GB2312"/>
                <w:sz w:val="24"/>
                <w:color w:val="000000"/>
              </w:rPr>
              <w:t>《渭南工程造价信息》</w:t>
            </w:r>
            <w:r>
              <w:rPr>
                <w:rFonts w:ascii="仿宋_GB2312" w:hAnsi="仿宋_GB2312" w:cs="仿宋_GB2312" w:eastAsia="仿宋_GB2312"/>
                <w:sz w:val="24"/>
                <w:color w:val="000000"/>
              </w:rPr>
              <w:t>（</w:t>
            </w:r>
            <w:r>
              <w:rPr>
                <w:rFonts w:ascii="仿宋_GB2312" w:hAnsi="仿宋_GB2312" w:cs="仿宋_GB2312" w:eastAsia="仿宋_GB2312"/>
                <w:sz w:val="24"/>
                <w:color w:val="000000"/>
              </w:rPr>
              <w:t>2025年第五期</w:t>
            </w:r>
            <w:r>
              <w:rPr>
                <w:rFonts w:ascii="仿宋_GB2312" w:hAnsi="仿宋_GB2312" w:cs="仿宋_GB2312" w:eastAsia="仿宋_GB2312"/>
                <w:sz w:val="24"/>
                <w:color w:val="000000"/>
              </w:rPr>
              <w:t>）</w:t>
            </w:r>
            <w:r>
              <w:rPr>
                <w:rFonts w:ascii="仿宋_GB2312" w:hAnsi="仿宋_GB2312" w:cs="仿宋_GB2312" w:eastAsia="仿宋_GB2312"/>
                <w:sz w:val="24"/>
                <w:color w:val="000000"/>
              </w:rPr>
              <w:t>及市场价</w:t>
            </w:r>
            <w:r>
              <w:rPr>
                <w:rFonts w:ascii="仿宋_GB2312" w:hAnsi="仿宋_GB2312" w:cs="仿宋_GB2312" w:eastAsia="仿宋_GB2312"/>
                <w:sz w:val="24"/>
                <w:color w:val="000000"/>
              </w:rPr>
              <w:t>；</w:t>
            </w:r>
          </w:p>
          <w:p>
            <w:pPr>
              <w:pStyle w:val="null3"/>
              <w:spacing w:before="270"/>
              <w:ind w:left="105" w:right="150" w:firstLine="393"/>
            </w:pPr>
            <w:r>
              <w:rPr>
                <w:rFonts w:ascii="仿宋_GB2312" w:hAnsi="仿宋_GB2312" w:cs="仿宋_GB2312" w:eastAsia="仿宋_GB2312"/>
                <w:sz w:val="24"/>
                <w:color w:val="000000"/>
              </w:rPr>
              <w:t>4</w:t>
            </w:r>
            <w:r>
              <w:rPr>
                <w:rFonts w:ascii="仿宋_GB2312" w:hAnsi="仿宋_GB2312" w:cs="仿宋_GB2312" w:eastAsia="仿宋_GB2312"/>
                <w:sz w:val="24"/>
                <w:color w:val="000000"/>
              </w:rPr>
              <w:t>.执行陕建发</w:t>
            </w:r>
            <w:r>
              <w:rPr>
                <w:rFonts w:ascii="仿宋_GB2312" w:hAnsi="仿宋_GB2312" w:cs="仿宋_GB2312" w:eastAsia="仿宋_GB2312"/>
                <w:sz w:val="24"/>
                <w:color w:val="000000"/>
              </w:rPr>
              <w:t>【</w:t>
            </w:r>
            <w:r>
              <w:rPr>
                <w:rFonts w:ascii="仿宋_GB2312" w:hAnsi="仿宋_GB2312" w:cs="仿宋_GB2312" w:eastAsia="仿宋_GB2312"/>
                <w:sz w:val="24"/>
                <w:color w:val="000000"/>
              </w:rPr>
              <w:t>2019</w:t>
            </w:r>
            <w:r>
              <w:rPr>
                <w:rFonts w:ascii="仿宋_GB2312" w:hAnsi="仿宋_GB2312" w:cs="仿宋_GB2312" w:eastAsia="仿宋_GB2312"/>
                <w:sz w:val="24"/>
                <w:color w:val="000000"/>
              </w:rPr>
              <w:t>】</w:t>
            </w:r>
            <w:r>
              <w:rPr>
                <w:rFonts w:ascii="仿宋_GB2312" w:hAnsi="仿宋_GB2312" w:cs="仿宋_GB2312" w:eastAsia="仿宋_GB2312"/>
                <w:sz w:val="24"/>
                <w:color w:val="000000"/>
              </w:rPr>
              <w:t>45号文</w:t>
            </w:r>
            <w:r>
              <w:rPr>
                <w:rFonts w:ascii="仿宋_GB2312" w:hAnsi="仿宋_GB2312" w:cs="仿宋_GB2312" w:eastAsia="仿宋_GB2312"/>
                <w:sz w:val="24"/>
                <w:color w:val="000000"/>
              </w:rPr>
              <w:t>营改增调整文件；</w:t>
            </w:r>
          </w:p>
          <w:p>
            <w:pPr>
              <w:pStyle w:val="null3"/>
              <w:spacing w:before="270"/>
              <w:ind w:left="105" w:right="150" w:firstLine="393"/>
            </w:pPr>
            <w:r>
              <w:rPr>
                <w:rFonts w:ascii="仿宋_GB2312" w:hAnsi="仿宋_GB2312" w:cs="仿宋_GB2312" w:eastAsia="仿宋_GB2312"/>
                <w:sz w:val="24"/>
                <w:color w:val="000000"/>
              </w:rPr>
              <w:t>5.本工程相关的标准图集、规范、技术资料；</w:t>
            </w:r>
          </w:p>
          <w:p>
            <w:pPr>
              <w:pStyle w:val="null3"/>
              <w:spacing w:before="270"/>
              <w:ind w:left="105" w:right="150" w:firstLine="393"/>
            </w:pPr>
            <w:r>
              <w:rPr>
                <w:rFonts w:ascii="仿宋_GB2312" w:hAnsi="仿宋_GB2312" w:cs="仿宋_GB2312" w:eastAsia="仿宋_GB2312"/>
                <w:sz w:val="24"/>
                <w:color w:val="000000"/>
              </w:rPr>
              <w:t>6.</w:t>
            </w:r>
            <w:r>
              <w:rPr>
                <w:rFonts w:ascii="仿宋_GB2312" w:hAnsi="仿宋_GB2312" w:cs="仿宋_GB2312" w:eastAsia="仿宋_GB2312"/>
                <w:sz w:val="24"/>
                <w:color w:val="000000"/>
              </w:rPr>
              <w:t>采用广联达云计价平台</w:t>
            </w:r>
            <w:r>
              <w:rPr>
                <w:rFonts w:ascii="仿宋_GB2312" w:hAnsi="仿宋_GB2312" w:cs="仿宋_GB2312" w:eastAsia="仿宋_GB2312"/>
                <w:sz w:val="24"/>
                <w:color w:val="000000"/>
              </w:rPr>
              <w:t>GCCP</w:t>
            </w:r>
            <w:r>
              <w:rPr>
                <w:rFonts w:ascii="仿宋_GB2312" w:hAnsi="仿宋_GB2312" w:cs="仿宋_GB2312" w:eastAsia="仿宋_GB2312"/>
                <w:sz w:val="24"/>
                <w:color w:val="000000"/>
              </w:rPr>
              <w:t>7</w:t>
            </w:r>
            <w:r>
              <w:rPr>
                <w:rFonts w:ascii="仿宋_GB2312" w:hAnsi="仿宋_GB2312" w:cs="仿宋_GB2312" w:eastAsia="仿宋_GB2312"/>
                <w:sz w:val="24"/>
                <w:color w:val="000000"/>
              </w:rPr>
              <w:t>.0（</w:t>
            </w:r>
            <w:r>
              <w:rPr>
                <w:rFonts w:ascii="仿宋_GB2312" w:hAnsi="仿宋_GB2312" w:cs="仿宋_GB2312" w:eastAsia="仿宋_GB2312"/>
                <w:sz w:val="24"/>
                <w:color w:val="000000"/>
              </w:rPr>
              <w:t>7.5000.23.2</w:t>
            </w:r>
            <w:r>
              <w:rPr>
                <w:rFonts w:ascii="仿宋_GB2312" w:hAnsi="仿宋_GB2312" w:cs="仿宋_GB2312" w:eastAsia="仿宋_GB2312"/>
                <w:sz w:val="24"/>
                <w:color w:val="000000"/>
              </w:rPr>
              <w:t>）版本编制。</w:t>
            </w:r>
          </w:p>
          <w:p>
            <w:pPr>
              <w:pStyle w:val="null3"/>
              <w:spacing w:before="255"/>
              <w:ind w:left="105"/>
            </w:pPr>
            <w:r>
              <w:rPr>
                <w:rFonts w:ascii="仿宋_GB2312" w:hAnsi="仿宋_GB2312" w:cs="仿宋_GB2312" w:eastAsia="仿宋_GB2312"/>
                <w:sz w:val="24"/>
                <w:color w:val="000000"/>
              </w:rPr>
              <w:t>三、编制范围：</w:t>
            </w:r>
          </w:p>
          <w:p>
            <w:pPr>
              <w:pStyle w:val="null3"/>
              <w:spacing w:before="270"/>
              <w:ind w:left="105" w:right="150" w:firstLine="393"/>
            </w:pPr>
            <w:r>
              <w:rPr>
                <w:rFonts w:ascii="仿宋_GB2312" w:hAnsi="仿宋_GB2312" w:cs="仿宋_GB2312" w:eastAsia="仿宋_GB2312"/>
                <w:sz w:val="24"/>
                <w:color w:val="000000"/>
              </w:rPr>
              <w:t>1.</w:t>
            </w:r>
            <w:r>
              <w:rPr>
                <w:rFonts w:ascii="仿宋_GB2312" w:hAnsi="仿宋_GB2312" w:cs="仿宋_GB2312" w:eastAsia="仿宋_GB2312"/>
                <w:sz w:val="24"/>
                <w:color w:val="000000"/>
              </w:rPr>
              <w:t>施工设计图纸及相关资料。</w:t>
            </w:r>
          </w:p>
          <w:p>
            <w:pPr>
              <w:pStyle w:val="null3"/>
              <w:spacing w:before="270"/>
              <w:ind w:right="150"/>
            </w:pPr>
            <w:r>
              <w:rPr>
                <w:rFonts w:ascii="仿宋_GB2312" w:hAnsi="仿宋_GB2312" w:cs="仿宋_GB2312" w:eastAsia="仿宋_GB2312"/>
                <w:sz w:val="24"/>
                <w:color w:val="000000"/>
              </w:rPr>
              <w:t>四、其他说明：</w:t>
            </w:r>
          </w:p>
          <w:p>
            <w:pPr>
              <w:pStyle w:val="null3"/>
              <w:spacing w:before="270"/>
              <w:ind w:left="105" w:right="150" w:firstLine="393"/>
            </w:pPr>
            <w:r>
              <w:rPr>
                <w:rFonts w:ascii="仿宋_GB2312" w:hAnsi="仿宋_GB2312" w:cs="仿宋_GB2312" w:eastAsia="仿宋_GB2312"/>
                <w:sz w:val="24"/>
                <w:color w:val="000000"/>
              </w:rPr>
              <w:t>1.</w:t>
            </w:r>
            <w:r>
              <w:rPr>
                <w:rFonts w:ascii="仿宋_GB2312" w:hAnsi="仿宋_GB2312" w:cs="仿宋_GB2312" w:eastAsia="仿宋_GB2312"/>
                <w:sz w:val="24"/>
                <w:color w:val="000000"/>
              </w:rPr>
              <w:t>未详尽事宜详见清单。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计划工期：60日历天；2、工程地点：富平县梅家坪镇车家村、新安村；3、付款方式：签订合同5个工作日内支付30%预付款，达到付款条件起5日内，支付合同总金额的30.00%；按工程进度支付进度款，达到付款条件起7日内，支付合同总金额的40.00%；竣工验收合格后支付至97% ，达到付款条件起6日内，支付合同总金额的27.00%；预留3%质量保证金，待质保期结束一次付清，达到付款条件起7日内，支付合同总金额的3.00%</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投标时供应商无需提供纸质版响应文件。成交供应商在领取成交通知书前将纸质版响应文件正本1份、副本2份、电子版（U 盘）文件1份，打印盖章后提交至采购代理公司处，以便采购人进行留存备案等工作，成交供应商应保持响应文件纸质版内容与电子版内容完全一致，否则将承担一切法律责任。纸质版响应文件一律采用书籍（胶装）方式装订且单面或双面打印。 2、落实政府采购政策需满足的资格要求：（1）《节能产品政府采购实施意见》（财库〔2004〕185号）；（2）《国务院办公厅关于建立政府强制采购节能产品制度的通知》（国办发〔2007〕51号）；（3）《财政部司法部关于政府采购支持监狱企业发展有关问题的通知》（财库〔2014〕68号）；（4）三部门联合发布《关于促进残疾人就业政府采购政策的通知》（财库〔2017〕141号）；（5）《财政部发展改革委生态环境部市场监管总局关于调整优化节能产品、环境标志产品政府采购执行机制的通知》（财库〔2019〕9号）；（6）陕西省财政厅关于印发《陕西省中小企业政府采购信用融资办法》（陕财办采〔2018〕23号）；（7）《陕西省财政厅关于加快推进我省中小企业政府采购信用融资工作的通知》（陕财办采〔2020〕15号）；（8）《政府采购促进中小企业发展管理办法》（财库〔2020〕46号）；（9）《关于进一步加大政府采购支持中小企业力度的通知》（财库〔2022〕19号）；（10）《财政部 农业农村部 国家乡村振兴局关于运用政府采购政策支持乡村产业振兴的通知》（财库〔2021〕19号）；（11）陕西省财政厅《关于进一步加强政府绿色采购有关问题的通知》（陕财办〔2021〕29号）；（12）《关于促进政府采购公平竞争优化营商环境的通知》（财库〔2019〕38号）；（13）《陕西省财政厅关于进一步落实政府采购支持中小企业相关政策的通知》（陕财办采〔2023〕3号）；（14）《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近三年经审计的财务报告（2023年-2025年）或在2025年12月1日至今其基本开户银行出具的资信证明或财政部门认可的政府采购专业担保机构出具的投标担保函（以上三种形式的资料提供任何一种即可）；并进行电子签章。 注：1.提供资信证明的供应商，需同时提供基本开户银行的证明材料；2.事业单位可不提供本项证明材料。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合法注册的企业提供营业执照（有统一社会信用代码）并附企业年度报告；事业法人提供事业单位法人证书、组织机构代码证书；其他组织应提供合法证明文件； 自然人提供身份证；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法定代表人授权委托书（附法定代表人、被授权人身份证复印件）；法定代表人参加投标只须提供法定代表人身份证明（附法定代表人身份证复印件）；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具备建筑工程施工总承包三级及以上资质；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拟派项目经理具备建筑工程专业二级注册建造师及以上资格和有效的安全生产考核合格证书，提供项目经理无在建工程的相关证明材料或承诺书；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近三年经审计的财务报告（2023年-2025年）或在2025年12月1日至今其基本开户银行出具的资信证明或财政部门认可的政府采购专业担保机构出具的投标担保函（以上三种形式的资料提供任何一种即可）；并进行电子签章。 注：1.提供资信证明的供应商，需同时提供基本开户银行的证明材料；2.事业单位可不提供本项证明材料。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w:t>
            </w:r>
          </w:p>
        </w:tc>
        <w:tc>
          <w:tcPr>
            <w:tcW w:type="dxa" w:w="3322"/>
          </w:tcPr>
          <w:p>
            <w:pPr>
              <w:pStyle w:val="null3"/>
            </w:pPr>
            <w:r>
              <w:rPr>
                <w:rFonts w:ascii="仿宋_GB2312" w:hAnsi="仿宋_GB2312" w:cs="仿宋_GB2312" w:eastAsia="仿宋_GB2312"/>
              </w:rPr>
              <w:t>提供依法缴纳税收的良好记录（提供递交磋商响应文件截止时间前六个月内任意一个月份的缴纳凭据复印件并加盖单位公章。依法免税或开标前一年内零申报的供应商应提供相关证明文件）；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提供依法缴纳社会保障资金的良好记录（提供递交磋商响应文件截止时间前六个月内任意一个月份的缴纳凭据复印件并加盖单位公章。依法不需要缴纳社会保障资金的供应商应提供相关证明文件）；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附网站相关截图并加盖单位公章（最终以采购代理机构开标现场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a.提供磋商保证金转账凭证和基本存款账户信息证明资料复印件或扫描件；b.提供金融机构、担保机构出具的保函复印件或扫描件；以上两种方式二选一，复印件或扫描件均须加盖公章；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本项目专门面向中小企业采购，供应商提供《中小企业声明函》。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本项目不允许联合体(提供非联合体声明函)。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（1）磋商报价符合唯一性要求；（2）第一次磋商报价表填写符合要求；（3）计量单位、报价货币均符合磋商文件要求；（4）未超过磋商文件规定的最高限价。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是否符合法律、法规和磋商文件规定，无其他 无效投标情形的。</w:t>
            </w:r>
          </w:p>
        </w:tc>
        <w:tc>
          <w:tcPr>
            <w:tcW w:type="dxa" w:w="1661"/>
          </w:tcPr>
          <w:p>
            <w:pPr>
              <w:pStyle w:val="null3"/>
            </w:pPr>
            <w:r>
              <w:rPr>
                <w:rFonts w:ascii="仿宋_GB2312" w:hAnsi="仿宋_GB2312" w:cs="仿宋_GB2312" w:eastAsia="仿宋_GB2312"/>
              </w:rPr>
              <w:t>响应文件封面 技术服务合同条款及其他商务要求应答表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供应商针对本项目提供质量保证措施（包含但不限于①质量目标、②质量保证措施），由磋商小组进行评分：每项内容阐述主次分明，表述清晰的得3分，若仅提供内容，但未详细阐述的得1 .5 分。本项最高得6分；未提供或提供的内容存在明显不足或与本项目情况不符的不得分。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供应商针对本项目提供安全保证措施（包含但不限于①安全生产管理制度、②安全生产资源配置、③应急措施），由磋商小组进行评分：每项内容阐述主次分明，表述清晰的得2分， 若仅提供内容，但未详细阐述的得1分。本项最高得6分；未提供或提供的内容存在明显不足或与本项目情况不符的不得分。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施工总平面布置图</w:t>
            </w:r>
          </w:p>
        </w:tc>
        <w:tc>
          <w:tcPr>
            <w:tcW w:type="dxa" w:w="2492"/>
          </w:tcPr>
          <w:p>
            <w:pPr>
              <w:pStyle w:val="null3"/>
            </w:pPr>
            <w:r>
              <w:rPr>
                <w:rFonts w:ascii="仿宋_GB2312" w:hAnsi="仿宋_GB2312" w:cs="仿宋_GB2312" w:eastAsia="仿宋_GB2312"/>
              </w:rPr>
              <w:t>供应商针对本项目提供施工总平面布置图包含全部内容（道路、材料区、加工区、临时水电、排水、安全、消防、环保、修缮拆除区），布置合理：6分；包含主要内容，布置基本合理：4 分；内容不完整，布置一般：2分；未提供或提供的内容存在明显不足或与本项目情况不符的不得分。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文明施工措施及环境保护措施</w:t>
            </w:r>
          </w:p>
        </w:tc>
        <w:tc>
          <w:tcPr>
            <w:tcW w:type="dxa" w:w="2492"/>
          </w:tcPr>
          <w:p>
            <w:pPr>
              <w:pStyle w:val="null3"/>
            </w:pPr>
            <w:r>
              <w:rPr>
                <w:rFonts w:ascii="仿宋_GB2312" w:hAnsi="仿宋_GB2312" w:cs="仿宋_GB2312" w:eastAsia="仿宋_GB2312"/>
              </w:rPr>
              <w:t>供应商针对本项目提供文明施工措施及环境保护措施（包含但不限于①现场环境卫生保证及卫生管理措施、②文明施工措施及投入相应设施设备（如警示牌、洒水设备、清洁工具等），由磋商小组进行评分：每项内容阐述主次分明，表述清晰的得3分，若仅提供内容 , 但未详细阐述的得1 .5分。本项最高得6分；未提供或提供的内容存在明显不足或与本项目情况不符的不得分。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实际情况编制施工方案（包含但不限于①施工总体方案、②关键部位施工方案(至少包含施工准备工作、施工方法、施工工艺）③雨季施工方案），由磋商小组进行评分：每项内容阐述主次分明，表述清晰的得 2 分，若仅提供内容，但未详细阐述的得 1 分。本项最高得6分；未提供或提供的内容存在明显不足或与本项目情况不符的不得分。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供应商针对本项目提供项目组织管理机构配备（包括但不限于项目技术人等各专业人员及相关技工人员），由磋商小组进行评分：内容阐述主次分明，人员配置齐全合理，表述清晰的得6分，若仅提供内容，但未详细阐述的得3分 。本项最高得6分；未提供或提供的内容存在明显不足或与本项目情况不符的不得分。 注：需提供拟投入人员的执业证书/技术岗位证书、职称证（若有）、学历证书、身份证等证书证件。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主要施工机械设备配备计划</w:t>
            </w:r>
          </w:p>
        </w:tc>
        <w:tc>
          <w:tcPr>
            <w:tcW w:type="dxa" w:w="2492"/>
          </w:tcPr>
          <w:p>
            <w:pPr>
              <w:pStyle w:val="null3"/>
            </w:pPr>
            <w:r>
              <w:rPr>
                <w:rFonts w:ascii="仿宋_GB2312" w:hAnsi="仿宋_GB2312" w:cs="仿宋_GB2312" w:eastAsia="仿宋_GB2312"/>
              </w:rPr>
              <w:t>供应商针对本项目提供主要施工机械设备配备计划（包括但不限于：①设备配置清单；②设备使用年限；③材料供应安排合理等情况。由磋商小组进行评分：每项内容阐述主次分明，表述清晰的得2分，若仅提供内容，但未详细阐述的得1分。本项最高得6分；未提供或提供的内容存在明显不足或与本项目情况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施工进度计划及措施</w:t>
            </w:r>
          </w:p>
        </w:tc>
        <w:tc>
          <w:tcPr>
            <w:tcW w:type="dxa" w:w="2492"/>
          </w:tcPr>
          <w:p>
            <w:pPr>
              <w:pStyle w:val="null3"/>
            </w:pPr>
            <w:r>
              <w:rPr>
                <w:rFonts w:ascii="仿宋_GB2312" w:hAnsi="仿宋_GB2312" w:cs="仿宋_GB2312" w:eastAsia="仿宋_GB2312"/>
              </w:rPr>
              <w:t>供应商针对本项目提供施工进度计划及措施（包含但不限于①总进度计划和施工进度表（横道图或网络图）、②单位工程或分项工程施工进度计划、③进度保障措施），由磋商小组进行评分：每项内容阐述主次分明，表述清晰的得2分，若仅提供内容，但未详细阐述的得1分。本项最高得6分；未提供或提供的内容存在明显不足或与本项目情况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供应商针对本项目提供劳动力安排计划（包含但不限于①劳动力投入计划、②劳动力的技术保证措施），由磋商小组进行评分：每项内容阐述主次分明，表述清晰的得3分，若仅提供内容，但未详细阐述的得1.5分。本项最高得6分；未提供或提供的内容存在明显不足或与本项目情况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2022年01月至今完成的类似业绩 , 一项得2分，最多得6分。 注：1 .须附类似项目业绩的成交（中标）通知书或合同或竣工验收证明材料复印件或扫描件，并加盖公章）；2. 以提供证明资料的落款时间为准。未提供不得分。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将满足磋商文件要求且最后报价最低的供应商的价格作为磋商基准价 , 其价格分为满分（40分）； 其他供应商磋商报价得分=(磋商基准价／最后磋商报价)×价格权值（即40%）×100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