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版本号：HSZ2026—CGZB—00320260316002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2026年小麦“一喷三防”项目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HSZ2026—CGZB—003</w:t>
      </w:r>
      <w:r>
        <w:br/>
      </w:r>
      <w:r>
        <w:br/>
      </w:r>
      <w:r>
        <w:br/>
      </w:r>
    </w:p>
    <w:p>
      <w:pPr>
        <w:pStyle w:val="null3"/>
        <w:jc w:val="center"/>
        <w:outlineLvl w:val="2"/>
      </w:pPr>
      <w:r>
        <w:rPr>
          <w:rFonts w:ascii="仿宋_GB2312" w:hAnsi="仿宋_GB2312" w:cs="仿宋_GB2312" w:eastAsia="仿宋_GB2312"/>
          <w:sz w:val="28"/>
          <w:b/>
        </w:rPr>
        <w:t>富平县农业技术推广中心</w:t>
      </w:r>
    </w:p>
    <w:p>
      <w:pPr>
        <w:pStyle w:val="null3"/>
        <w:jc w:val="center"/>
        <w:outlineLvl w:val="2"/>
      </w:pPr>
      <w:r>
        <w:rPr>
          <w:rFonts w:ascii="仿宋_GB2312" w:hAnsi="仿宋_GB2312" w:cs="仿宋_GB2312" w:eastAsia="仿宋_GB2312"/>
          <w:sz w:val="28"/>
          <w:b/>
        </w:rPr>
        <w:t>陕西厷森项目管理有限公司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陕西厷森项目管理有限公司</w:t>
      </w:r>
      <w:r>
        <w:rPr>
          <w:rFonts w:ascii="仿宋_GB2312" w:hAnsi="仿宋_GB2312" w:cs="仿宋_GB2312" w:eastAsia="仿宋_GB2312"/>
        </w:rPr>
        <w:t>（以下简称“代理机构”）受</w:t>
      </w:r>
      <w:r>
        <w:rPr>
          <w:rFonts w:ascii="仿宋_GB2312" w:hAnsi="仿宋_GB2312" w:cs="仿宋_GB2312" w:eastAsia="仿宋_GB2312"/>
        </w:rPr>
        <w:t>富平县农业技术推广中心</w:t>
      </w:r>
      <w:r>
        <w:rPr>
          <w:rFonts w:ascii="仿宋_GB2312" w:hAnsi="仿宋_GB2312" w:cs="仿宋_GB2312" w:eastAsia="仿宋_GB2312"/>
        </w:rPr>
        <w:t>委托，拟对</w:t>
      </w:r>
      <w:r>
        <w:rPr>
          <w:rFonts w:ascii="仿宋_GB2312" w:hAnsi="仿宋_GB2312" w:cs="仿宋_GB2312" w:eastAsia="仿宋_GB2312"/>
        </w:rPr>
        <w:t>2026年小麦“一喷三防”项目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HSZ2026—CGZB—003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2026年小麦“一喷三防”项目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采购植物生长调节剂、叶面肥、杀菌剂、杀虫剂及农作物病虫害防治服务。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采购包1（第1包：调节剂、叶面肥、杀菌剂、杀虫剂）：属于专门面向中小企业采购。</w:t>
      </w:r>
    </w:p>
    <w:p>
      <w:pPr>
        <w:pStyle w:val="null3"/>
      </w:pPr>
      <w:r>
        <w:rPr>
          <w:rFonts w:ascii="仿宋_GB2312" w:hAnsi="仿宋_GB2312" w:cs="仿宋_GB2312" w:eastAsia="仿宋_GB2312"/>
        </w:rPr>
        <w:t>采购包2（第2包：统防统治）：属于专门面向中小企业采购。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p>
      <w:pPr>
        <w:pStyle w:val="null3"/>
      </w:pPr>
      <w:r>
        <w:rPr>
          <w:rFonts w:ascii="仿宋_GB2312" w:hAnsi="仿宋_GB2312" w:cs="仿宋_GB2312" w:eastAsia="仿宋_GB2312"/>
        </w:rPr>
        <w:t>4、缴纳税收的要求：提供依法缴纳税收的良好记录（提供投标文件递交截止时间前六个月内任意一个月份的缴纳凭据复印件或扫描件。依法免税或开标前一年内零申报的投标人应提供相关证明文件）；</w:t>
      </w:r>
    </w:p>
    <w:p>
      <w:pPr>
        <w:pStyle w:val="null3"/>
      </w:pPr>
      <w:r>
        <w:rPr>
          <w:rFonts w:ascii="仿宋_GB2312" w:hAnsi="仿宋_GB2312" w:cs="仿宋_GB2312" w:eastAsia="仿宋_GB2312"/>
        </w:rPr>
        <w:t>5、缴纳社会保障资金的要求：提供依法缴纳社会保障资金的良好记录（提供投标文件递交截止时间前六个月内任意一个月份的缴纳凭据复印件或扫描件。依法不需要缴纳社会保障资金的投标人应提供相关证明文件）；</w:t>
      </w:r>
    </w:p>
    <w:p>
      <w:pPr>
        <w:pStyle w:val="null3"/>
      </w:pPr>
      <w:r>
        <w:rPr>
          <w:rFonts w:ascii="仿宋_GB2312" w:hAnsi="仿宋_GB2312" w:cs="仿宋_GB2312" w:eastAsia="仿宋_GB2312"/>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p>
      <w:pPr>
        <w:pStyle w:val="null3"/>
      </w:pPr>
      <w:r>
        <w:rPr>
          <w:rFonts w:ascii="仿宋_GB2312" w:hAnsi="仿宋_GB2312" w:cs="仿宋_GB2312" w:eastAsia="仿宋_GB2312"/>
        </w:rPr>
        <w:t>7、无重大违法记录的要求：提供近三年内在经营活动中无重大违法记录的书面声明；</w:t>
      </w:r>
    </w:p>
    <w:p>
      <w:pPr>
        <w:pStyle w:val="null3"/>
      </w:pPr>
      <w:r>
        <w:rPr>
          <w:rFonts w:ascii="仿宋_GB2312" w:hAnsi="仿宋_GB2312" w:cs="仿宋_GB2312" w:eastAsia="仿宋_GB2312"/>
        </w:rPr>
        <w:t>8、投标保证金要求：提供投标保证金银行转账凭证及基本存款账户信息证明资料或金融机构、担保机构出具的保函复印件或扫描件；</w:t>
      </w:r>
    </w:p>
    <w:p>
      <w:pPr>
        <w:pStyle w:val="null3"/>
      </w:pPr>
      <w:r>
        <w:rPr>
          <w:rFonts w:ascii="仿宋_GB2312" w:hAnsi="仿宋_GB2312" w:cs="仿宋_GB2312" w:eastAsia="仿宋_GB2312"/>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10、具有履行合同所必需的设备和专业技术能力的要求：提供具有履行本合同所必需的设备和专业技术能力的说明及承诺；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11、面向中小企业采购政策落实情况：本项目专门面向中小企业采购，投标人须提供《中小企业声明函》。</w:t>
      </w:r>
    </w:p>
    <w:p>
      <w:pPr>
        <w:pStyle w:val="null3"/>
      </w:pPr>
      <w:r>
        <w:rPr>
          <w:rFonts w:ascii="仿宋_GB2312" w:hAnsi="仿宋_GB2312" w:cs="仿宋_GB2312" w:eastAsia="仿宋_GB2312"/>
        </w:rPr>
        <w:t>12、投标人特定资格要求：①投标人为制造商须具备药品三证（农药登记证、农药生产许可证、产品标准证）；投标人为代理商须提供农药经营许可证及药品三证（农药登记证、农药生产许可证、产品标准证）复印件加盖制造商单位公章；②投标人为制造商的须提供农业部门批准核发肥料登记证或农业农村部肥料备案信息系统备案截图或省级农业农村部门肥料备案信息系统备案截图；投标人为代理商须提供制造商农业部门批准核发肥料登记证复印件或农业农村部肥料备案信息系统备案截图或省级农业农村部门肥料备案信息系统备案截图加盖制造商单位公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p>
      <w:pPr>
        <w:pStyle w:val="null3"/>
      </w:pPr>
      <w:r>
        <w:rPr>
          <w:rFonts w:ascii="仿宋_GB2312" w:hAnsi="仿宋_GB2312" w:cs="仿宋_GB2312" w:eastAsia="仿宋_GB2312"/>
        </w:rPr>
        <w:t>4、缴纳税收的要求：提供依法缴纳税收的良好记录（提供投标文件递交截止时间前六个月内任意一个月份的缴纳凭据复印件或扫描件。依法免税或开标前一年内零申报的投标人应提供相关证明文件）；</w:t>
      </w:r>
    </w:p>
    <w:p>
      <w:pPr>
        <w:pStyle w:val="null3"/>
      </w:pPr>
      <w:r>
        <w:rPr>
          <w:rFonts w:ascii="仿宋_GB2312" w:hAnsi="仿宋_GB2312" w:cs="仿宋_GB2312" w:eastAsia="仿宋_GB2312"/>
        </w:rPr>
        <w:t>5、缴纳社会保障资金的要求：提供依法缴纳社会保障资金的良好记录（提供投标文件递交截止时间前六个月内任意一个月份的缴纳凭据复印件或扫描件。依法不需要缴纳社会保障资金的投标人应提供相关证明文件）；</w:t>
      </w:r>
    </w:p>
    <w:p>
      <w:pPr>
        <w:pStyle w:val="null3"/>
      </w:pPr>
      <w:r>
        <w:rPr>
          <w:rFonts w:ascii="仿宋_GB2312" w:hAnsi="仿宋_GB2312" w:cs="仿宋_GB2312" w:eastAsia="仿宋_GB2312"/>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p>
      <w:pPr>
        <w:pStyle w:val="null3"/>
      </w:pPr>
      <w:r>
        <w:rPr>
          <w:rFonts w:ascii="仿宋_GB2312" w:hAnsi="仿宋_GB2312" w:cs="仿宋_GB2312" w:eastAsia="仿宋_GB2312"/>
        </w:rPr>
        <w:t>7、无重大违法记录的要求：提供近三年内在经营活动中无重大违法记录的书面声明；</w:t>
      </w:r>
    </w:p>
    <w:p>
      <w:pPr>
        <w:pStyle w:val="null3"/>
      </w:pPr>
      <w:r>
        <w:rPr>
          <w:rFonts w:ascii="仿宋_GB2312" w:hAnsi="仿宋_GB2312" w:cs="仿宋_GB2312" w:eastAsia="仿宋_GB2312"/>
        </w:rPr>
        <w:t>8、投标保证金要求：提供投标保证金银行转账凭证及基本存款账户信息证明资料或金融机构、担保机构出具的保函复印件或扫描件；</w:t>
      </w:r>
    </w:p>
    <w:p>
      <w:pPr>
        <w:pStyle w:val="null3"/>
      </w:pPr>
      <w:r>
        <w:rPr>
          <w:rFonts w:ascii="仿宋_GB2312" w:hAnsi="仿宋_GB2312" w:cs="仿宋_GB2312" w:eastAsia="仿宋_GB2312"/>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10、具有履行合同所必需的设备和专业技术能力的要求：提供具有履行本合同所必需的设备和专业技术能力的说明及承诺；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11、面向中小企业采购政策落实情况：本项目专门面向中小企业采购，投标人须提供《中小企业声明函》；</w:t>
      </w:r>
    </w:p>
    <w:p>
      <w:pPr>
        <w:pStyle w:val="null3"/>
      </w:pPr>
      <w:r>
        <w:rPr>
          <w:rFonts w:ascii="仿宋_GB2312" w:hAnsi="仿宋_GB2312" w:cs="仿宋_GB2312" w:eastAsia="仿宋_GB2312"/>
        </w:rPr>
        <w:t>12、投标人特定资格要求：投标人须为在植保部门备案的专业防治组织机构，提供有效的备案证明。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富平县杜村东街2号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王高荣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0913-8203048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陕西厷森项目管理有限公司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陕西省渭南市富平县城关街道办事处书店社区富兴路中段西侧商务楼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0913-8921111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采购包1：2,460,000.00元</w:t>
            </w:r>
          </w:p>
          <w:p>
            <w:pPr>
              <w:pStyle w:val="null3"/>
            </w:pPr>
            <w:r>
              <w:rPr>
                <w:rFonts w:ascii="仿宋_GB2312" w:hAnsi="仿宋_GB2312" w:cs="仿宋_GB2312" w:eastAsia="仿宋_GB2312"/>
              </w:rPr>
              <w:t>采购包2：602,300.00元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开户名称：陕西厷森项目管理有限公司</w:t>
            </w:r>
          </w:p>
          <w:p>
            <w:pPr>
              <w:pStyle w:val="null3"/>
            </w:pPr>
            <w:r>
              <w:rPr>
                <w:rFonts w:ascii="仿宋_GB2312" w:hAnsi="仿宋_GB2312" w:cs="仿宋_GB2312" w:eastAsia="仿宋_GB2312"/>
              </w:rPr>
              <w:t>开户银行：中国农业银行股份有限公司富平县支行</w:t>
            </w:r>
          </w:p>
          <w:p>
            <w:pPr>
              <w:pStyle w:val="null3"/>
            </w:pPr>
            <w:r>
              <w:rPr>
                <w:rFonts w:ascii="仿宋_GB2312" w:hAnsi="仿宋_GB2312" w:cs="仿宋_GB2312" w:eastAsia="仿宋_GB2312"/>
              </w:rPr>
              <w:t>银行账号：26555101040024098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招标代理服务收费管理暂行办法》的通知（计价格〔2002〕1980号）计算，按照《国家发展改革委办公厅关于招标代理服务收费有关问题的通知》（发改办价格〔2003〕857号）规定向中标人收取。 若本次招标失败（非代理机构原因），代理服务费由采购人支付。具体金额以代理公司开具的税票为准，中标人在领取中标（成交）通知书时向采购代理机构一次性支付；费用以转账、电汇或现金等形式缴纳。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富平县农业技术推广中心</w:t>
      </w:r>
      <w:r>
        <w:rPr>
          <w:rFonts w:ascii="仿宋_GB2312" w:hAnsi="仿宋_GB2312" w:cs="仿宋_GB2312" w:eastAsia="仿宋_GB2312"/>
        </w:rPr>
        <w:t>和</w:t>
      </w:r>
      <w:r>
        <w:rPr>
          <w:rFonts w:ascii="仿宋_GB2312" w:hAnsi="仿宋_GB2312" w:cs="仿宋_GB2312" w:eastAsia="仿宋_GB2312"/>
        </w:rPr>
        <w:t>陕西厷森项目管理有限公司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富平县农业技术推广中心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陕西厷森项目管理有限公司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陕西厷森项目管理有限公司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在签订政府采购合同时另行约定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联系人：程琳</w:t>
      </w:r>
    </w:p>
    <w:p>
      <w:pPr>
        <w:pStyle w:val="null3"/>
      </w:pPr>
      <w:r>
        <w:rPr>
          <w:rFonts w:ascii="仿宋_GB2312" w:hAnsi="仿宋_GB2312" w:cs="仿宋_GB2312" w:eastAsia="仿宋_GB2312"/>
        </w:rPr>
        <w:t>联系电话：0913-8921111</w:t>
      </w:r>
    </w:p>
    <w:p>
      <w:pPr>
        <w:pStyle w:val="null3"/>
      </w:pPr>
      <w:r>
        <w:rPr>
          <w:rFonts w:ascii="仿宋_GB2312" w:hAnsi="仿宋_GB2312" w:cs="仿宋_GB2312" w:eastAsia="仿宋_GB2312"/>
        </w:rPr>
        <w:t>地址：陕西省渭南市富平县城关街道办事处书店社区富兴路中段西侧商务楼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采购植物生长调节剂、叶面肥、杀菌剂、杀虫剂及农作物病虫害防治服务。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2,460,000.00</w:t>
      </w:r>
    </w:p>
    <w:p>
      <w:pPr>
        <w:pStyle w:val="null3"/>
      </w:pPr>
      <w:r>
        <w:rPr>
          <w:rFonts w:ascii="仿宋_GB2312" w:hAnsi="仿宋_GB2312" w:cs="仿宋_GB2312" w:eastAsia="仿宋_GB2312"/>
        </w:rPr>
        <w:t>采购包最高限价（元）: 2,460,000.00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农药及化肥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602,300.00</w:t>
      </w:r>
    </w:p>
    <w:p>
      <w:pPr>
        <w:pStyle w:val="null3"/>
      </w:pPr>
      <w:r>
        <w:rPr>
          <w:rFonts w:ascii="仿宋_GB2312" w:hAnsi="仿宋_GB2312" w:cs="仿宋_GB2312" w:eastAsia="仿宋_GB2312"/>
        </w:rPr>
        <w:t>采购包最高限价（元）: 602,300.00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农作物病虫害防治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602,300.00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标的名称：农药及化肥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32"/>
              <w:gridCol w:w="490"/>
              <w:gridCol w:w="1178"/>
              <w:gridCol w:w="420"/>
              <w:gridCol w:w="232"/>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1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技术指标</w:t>
                  </w:r>
                </w:p>
              </w:tc>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植物生长调节剂</w:t>
                  </w: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在农作物上登记使用的植物生长调节剂（可溶液剂），可促进作物生长，增强植株抗逆性等有利于作物生长的功效。</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2460kg</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叶面肥</w:t>
                  </w: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在农作物上登记使用，能够叶面喷施含氮磷钾的水溶肥（水剂），氮磷钾总含量</w:t>
                  </w:r>
                  <w:r>
                    <w:rPr>
                      <w:rFonts w:ascii="仿宋_GB2312" w:hAnsi="仿宋_GB2312" w:cs="仿宋_GB2312" w:eastAsia="仿宋_GB2312"/>
                      <w:sz w:val="24"/>
                    </w:rPr>
                    <w:t>≥</w:t>
                  </w:r>
                  <w:r>
                    <w:rPr>
                      <w:rFonts w:ascii="仿宋_GB2312" w:hAnsi="仿宋_GB2312" w:cs="仿宋_GB2312" w:eastAsia="仿宋_GB2312"/>
                      <w:sz w:val="24"/>
                    </w:rPr>
                    <w:t>400g/L，钾元素含量</w:t>
                  </w:r>
                  <w:r>
                    <w:rPr>
                      <w:rFonts w:ascii="仿宋_GB2312" w:hAnsi="仿宋_GB2312" w:cs="仿宋_GB2312" w:eastAsia="仿宋_GB2312"/>
                      <w:sz w:val="24"/>
                    </w:rPr>
                    <w:t>≥</w:t>
                  </w:r>
                  <w:r>
                    <w:rPr>
                      <w:rFonts w:ascii="仿宋_GB2312" w:hAnsi="仿宋_GB2312" w:cs="仿宋_GB2312" w:eastAsia="仿宋_GB2312"/>
                      <w:sz w:val="24"/>
                    </w:rPr>
                    <w:t>200g/L。</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12300kg</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杀菌剂</w:t>
                  </w:r>
                </w:p>
                <w:p>
                  <w:pPr>
                    <w:pStyle w:val="null3"/>
                    <w:jc w:val="center"/>
                  </w:pPr>
                  <w:r>
                    <w:rPr>
                      <w:rFonts w:ascii="仿宋_GB2312" w:hAnsi="仿宋_GB2312" w:cs="仿宋_GB2312" w:eastAsia="仿宋_GB2312"/>
                      <w:sz w:val="24"/>
                      <w:b/>
                    </w:rPr>
                    <w:t>（核心产品）</w:t>
                  </w: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在农作物上登记使用，防治小麦赤霉病、条锈病为主的杀菌剂（悬浮剂），总有效成分</w:t>
                  </w:r>
                  <w:r>
                    <w:rPr>
                      <w:rFonts w:ascii="仿宋_GB2312" w:hAnsi="仿宋_GB2312" w:cs="仿宋_GB2312" w:eastAsia="仿宋_GB2312"/>
                      <w:sz w:val="24"/>
                    </w:rPr>
                    <w:t>≥</w:t>
                  </w:r>
                  <w:r>
                    <w:rPr>
                      <w:rFonts w:ascii="仿宋_GB2312" w:hAnsi="仿宋_GB2312" w:cs="仿宋_GB2312" w:eastAsia="仿宋_GB2312"/>
                      <w:sz w:val="24"/>
                    </w:rPr>
                    <w:t>30%。</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9840kg</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杀虫剂</w:t>
                  </w: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在农作物上登记使用，防治蚜虫、红蜘蛛为主的杀虫剂（悬浮剂），总有效成分</w:t>
                  </w:r>
                  <w:r>
                    <w:rPr>
                      <w:rFonts w:ascii="仿宋_GB2312" w:hAnsi="仿宋_GB2312" w:cs="仿宋_GB2312" w:eastAsia="仿宋_GB2312"/>
                      <w:sz w:val="24"/>
                    </w:rPr>
                    <w:t>≥</w:t>
                  </w:r>
                  <w:r>
                    <w:rPr>
                      <w:rFonts w:ascii="仿宋_GB2312" w:hAnsi="仿宋_GB2312" w:cs="仿宋_GB2312" w:eastAsia="仿宋_GB2312"/>
                      <w:sz w:val="24"/>
                    </w:rPr>
                    <w:t>30%。</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2460kg</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标的名称：农作物病虫害防治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植保器械先进，作业能力强，制度健全，管理规范；</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针对病虫发生特点，技术方案和工作方案科学有效；</w:t>
            </w:r>
          </w:p>
          <w:p>
            <w:pPr>
              <w:pStyle w:val="null3"/>
              <w:ind w:firstLine="480"/>
              <w:jc w:val="both"/>
            </w:pPr>
            <w:r>
              <w:rPr>
                <w:rFonts w:ascii="仿宋_GB2312" w:hAnsi="仿宋_GB2312" w:cs="仿宋_GB2312" w:eastAsia="仿宋_GB2312"/>
                <w:sz w:val="24"/>
              </w:rPr>
              <w:t>3、主要防治对象：小麦病虫害主要以蚜虫、红蜘蛛、小麦赤霉病、条锈病为主。</w:t>
            </w:r>
          </w:p>
          <w:p>
            <w:pPr>
              <w:pStyle w:val="null3"/>
              <w:ind w:firstLine="480"/>
              <w:jc w:val="both"/>
            </w:pPr>
            <w:r>
              <w:rPr>
                <w:rFonts w:ascii="仿宋_GB2312" w:hAnsi="仿宋_GB2312" w:cs="仿宋_GB2312" w:eastAsia="仿宋_GB2312"/>
                <w:sz w:val="24"/>
              </w:rPr>
              <w:t>4、选择的药剂要符合国家标准，三证齐全，高效低毒、安全环保。</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要在病虫害防治的关键时期完成防治任务，</w:t>
            </w:r>
            <w:r>
              <w:rPr>
                <w:rFonts w:ascii="仿宋_GB2312" w:hAnsi="仿宋_GB2312" w:cs="仿宋_GB2312" w:eastAsia="仿宋_GB2312"/>
                <w:sz w:val="24"/>
              </w:rPr>
              <w:t>项目区统防面积</w:t>
            </w:r>
            <w:r>
              <w:rPr>
                <w:rFonts w:ascii="仿宋_GB2312" w:hAnsi="仿宋_GB2312" w:cs="仿宋_GB2312" w:eastAsia="仿宋_GB2312"/>
                <w:sz w:val="24"/>
              </w:rPr>
              <w:t>7.086万亩，项目区统防覆盖率100%，总体防效达90%以上，危害损失率控制在3%以下。</w:t>
            </w:r>
          </w:p>
          <w:p>
            <w:pPr>
              <w:pStyle w:val="null3"/>
              <w:ind w:left="420"/>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合同签订后10日历天，按照采购人要求按时供货。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小麦病虫害防治2026年5月5日前完成。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防效评估后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在病虫害防治的关键时期完成防治任务，项目区统防面积7.086万亩，项目区统防覆盖率100%，总体防效达90%以上，危害损失率控制在3%以下，经防效调查后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1、所供产品的规格、数量符合招标文件、供应商承诺及采购合同约定的要求。 2、所有产品均已运输至指定地点。 3.本项目由采购人及相关部门定期对项目进行阶段性验收。 4.验收标准：按采购文件、投标文件及澄清函、项目检查情况等综合指标进行验收。各项指标均应符合验收标准及要求。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符合国家相关现行验收规范标准要求。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在签订政府采购合同时另行约定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1、投标时投标人无需提供纸质版响应文件。中标人在领取中标通知书前将纸质版投标文件打印胶装3份、电子版（U 盘）文件3份提交至采购代理机构处，以便采购人进行留存备案等工作，中标供应商应保持投标文件纸质版内容与电子版内容完全一致，否则将承担一切法律责任。纸质版投标文件一律采用书籍（胶装）方式装订且单面或双面打印。2、落实政府采购政策需满足的资格要求：（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 农业农村部 国家乡村振兴局关于运用政府采购政策 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提供依法缴纳税收的良好记录（提供投标文件递交截止时间前六个月内任意一个月份的缴纳凭据复印件或扫描件。依法免税或开标前一年内零申报的投标人应提供相关证明文件）；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提供依法缴纳社会保障资金的良好记录（提供投标文件递交截止时间前六个月内任意一个月份的缴纳凭据复印件或扫描件。依法不需要缴纳社会保障资金的投标人应提供相关证明文件）；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投标保证金要求</w:t>
            </w:r>
          </w:p>
        </w:tc>
        <w:tc>
          <w:tcPr>
            <w:tcW w:type="dxa" w:w="3322"/>
          </w:tcPr>
          <w:p>
            <w:pPr>
              <w:pStyle w:val="null3"/>
            </w:pPr>
            <w:r>
              <w:rPr>
                <w:rFonts w:ascii="仿宋_GB2312" w:hAnsi="仿宋_GB2312" w:cs="仿宋_GB2312" w:eastAsia="仿宋_GB2312"/>
              </w:rPr>
              <w:t>提供投标保证金银行转账凭证及基本存款账户信息证明资料或金融机构、担保机构出具的保函复印件或扫描件；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本项目专门面向中小企业采购，投标人须提供《中小企业声明函》。</w:t>
            </w:r>
          </w:p>
        </w:tc>
        <w:tc>
          <w:tcPr>
            <w:tcW w:type="dxa" w:w="1661"/>
          </w:tcPr>
          <w:p>
            <w:pPr>
              <w:pStyle w:val="null3"/>
            </w:pPr>
            <w:r>
              <w:rPr>
                <w:rFonts w:ascii="仿宋_GB2312" w:hAnsi="仿宋_GB2312" w:cs="仿宋_GB2312" w:eastAsia="仿宋_GB2312"/>
              </w:rPr>
              <w:t>中小企业声明函 资格审查资料.docx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投标人特定资格要求</w:t>
            </w:r>
          </w:p>
        </w:tc>
        <w:tc>
          <w:tcPr>
            <w:tcW w:type="dxa" w:w="3322"/>
          </w:tcPr>
          <w:p>
            <w:pPr>
              <w:pStyle w:val="null3"/>
            </w:pPr>
            <w:r>
              <w:rPr>
                <w:rFonts w:ascii="仿宋_GB2312" w:hAnsi="仿宋_GB2312" w:cs="仿宋_GB2312" w:eastAsia="仿宋_GB2312"/>
              </w:rPr>
              <w:t>①投标人为制造商须具备药品三证（农药登记证、农药生产许可证、产品标准证）；投标人为代理商须提供农药经营许可证及药品三证（农药登记证、农药生产许可证、产品标准证）复印件加盖制造商单位公章；②投标人为制造商的须提供农业部门批准核发肥料登记证或农业农村部肥料备案信息系统备案截图或省级农业农村部门肥料备案信息系统备案截图；投标人为代理商须提供制造商农业部门批准核发肥料登记证复印件或农业农村部肥料备案信息系统备案截图或省级农业农村部门肥料备案信息系统备案截图加盖制造商单位公章。</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提供依法缴纳税收的良好记录（提供投标文件递交截止时间前六个月内任意一个月份的缴纳凭据复印件或扫描件。依法免税或开标前一年内零申报的投标人应提供相关证明文件）；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提供依法缴纳社会保障资金的良好记录（提供投标文件递交截止时间前六个月内任意一个月份的缴纳凭据复印件或扫描件。依法不需要缴纳社会保障资金的投标人应提供相关证明文件）；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投标保证金要求</w:t>
            </w:r>
          </w:p>
        </w:tc>
        <w:tc>
          <w:tcPr>
            <w:tcW w:type="dxa" w:w="3322"/>
          </w:tcPr>
          <w:p>
            <w:pPr>
              <w:pStyle w:val="null3"/>
            </w:pPr>
            <w:r>
              <w:rPr>
                <w:rFonts w:ascii="仿宋_GB2312" w:hAnsi="仿宋_GB2312" w:cs="仿宋_GB2312" w:eastAsia="仿宋_GB2312"/>
              </w:rPr>
              <w:t>提供投标保证金银行转账凭证及基本存款账户信息证明资料或金融机构、担保机构出具的保函复印件或扫描件；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本项目专门面向中小企业采购，投标人须提供《中小企业声明函》；</w:t>
            </w:r>
          </w:p>
        </w:tc>
        <w:tc>
          <w:tcPr>
            <w:tcW w:type="dxa" w:w="1661"/>
          </w:tcPr>
          <w:p>
            <w:pPr>
              <w:pStyle w:val="null3"/>
            </w:pPr>
            <w:r>
              <w:rPr>
                <w:rFonts w:ascii="仿宋_GB2312" w:hAnsi="仿宋_GB2312" w:cs="仿宋_GB2312" w:eastAsia="仿宋_GB2312"/>
              </w:rPr>
              <w:t>中小企业声明函.docx 资格审查资料.docx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投标人特定资格要求</w:t>
            </w:r>
          </w:p>
        </w:tc>
        <w:tc>
          <w:tcPr>
            <w:tcW w:type="dxa" w:w="3322"/>
          </w:tcPr>
          <w:p>
            <w:pPr>
              <w:pStyle w:val="null3"/>
            </w:pPr>
            <w:r>
              <w:rPr>
                <w:rFonts w:ascii="仿宋_GB2312" w:hAnsi="仿宋_GB2312" w:cs="仿宋_GB2312" w:eastAsia="仿宋_GB2312"/>
              </w:rPr>
              <w:t>投标人须为在植保部门备案的专业防治组织机构，提供有效的备案证明。</w:t>
            </w:r>
          </w:p>
        </w:tc>
        <w:tc>
          <w:tcPr>
            <w:tcW w:type="dxa" w:w="1661"/>
          </w:tcPr>
          <w:p>
            <w:pPr>
              <w:pStyle w:val="null3"/>
            </w:pPr>
            <w:r>
              <w:rPr>
                <w:rFonts w:ascii="仿宋_GB2312" w:hAnsi="仿宋_GB2312" w:cs="仿宋_GB2312" w:eastAsia="仿宋_GB2312"/>
              </w:rPr>
              <w:t>资格审查资料.docx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残疾人福利性单位声明函 中小企业声明函 资格审查资料.docx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资格审查资料.docx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业绩.docx 中小企业声明函 质量保证措施.docx 其他相关资料.docx 商务响应表.docx 分项报价表.docx 投标函 售后服务.docx 残疾人福利性单位声明函 技术响应偏离表.docx 标的清单 投标文件封面 资格审查资料.docx 实施方案.docx 来源渠道.docx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报价唯一，且不高于本项目最高限价。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投标文件的签署、加盖印章合格、有效</w:t>
            </w:r>
          </w:p>
        </w:tc>
        <w:tc>
          <w:tcPr>
            <w:tcW w:type="dxa" w:w="1661"/>
          </w:tcPr>
          <w:p>
            <w:pPr>
              <w:pStyle w:val="null3"/>
            </w:pPr>
            <w:r>
              <w:rPr>
                <w:rFonts w:ascii="仿宋_GB2312" w:hAnsi="仿宋_GB2312" w:cs="仿宋_GB2312" w:eastAsia="仿宋_GB2312"/>
              </w:rPr>
              <w:t>业绩.docx 开标一览表 中小企业声明函 质量保证措施.docx 其他相关资料.docx 商务响应表.docx 分项报价表.docx 投标函 售后服务.docx 残疾人福利性单位声明函 技术响应偏离表.docx 标的清单 投标文件封面 资格审查资料.docx 实施方案.docx 来源渠道.docx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保修期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核心产品技术参数</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技术响应偏离表.docx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其他招标文件或法律法规明确规定投标无效的事项</w:t>
            </w:r>
          </w:p>
        </w:tc>
        <w:tc>
          <w:tcPr>
            <w:tcW w:type="dxa" w:w="3322"/>
          </w:tcPr>
          <w:p>
            <w:pPr>
              <w:pStyle w:val="null3"/>
            </w:pPr>
            <w:r>
              <w:rPr>
                <w:rFonts w:ascii="仿宋_GB2312" w:hAnsi="仿宋_GB2312" w:cs="仿宋_GB2312" w:eastAsia="仿宋_GB2312"/>
              </w:rPr>
              <w:t>无其他招标文件或法律法规明确规定投标无效的事项</w:t>
            </w:r>
          </w:p>
        </w:tc>
        <w:tc>
          <w:tcPr>
            <w:tcW w:type="dxa" w:w="1661"/>
          </w:tcPr>
          <w:p>
            <w:pPr>
              <w:pStyle w:val="null3"/>
            </w:pPr>
            <w:r>
              <w:rPr>
                <w:rFonts w:ascii="仿宋_GB2312" w:hAnsi="仿宋_GB2312" w:cs="仿宋_GB2312" w:eastAsia="仿宋_GB2312"/>
              </w:rPr>
              <w:t>开标一览表 业绩.docx 中小企业声明函 质量保证措施.docx 其他相关资料.docx 商务响应表.docx 分项报价表.docx 投标函 售后服务.docx 残疾人福利性单位声明函 技术响应偏离表.docx 标的清单 投标文件封面 资格审查资料.docx 实施方案.docx 来源渠道.docx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业绩.docx 应急处置方案.docx 中小企业声明函.docx 服务内容偏离表.docx 服务质量保证措施.docx 其他相关资料.docx 商务响应表.docx 进度安排及保证措施.docx 项目的整体实施方案.docx 投标函 残疾人福利性单位声明函 标的清单 投标文件封面 资格审查资料.docx 对本项目的理解及分析.docx 监狱企业的证明文件 专用设备配备方案.docx 服务安全保障方案.docx 项目负责人及其他人员配备情况.docx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报价唯一，且不高于本项目最高限价。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投标文件的签署、加盖印章合格、有效</w:t>
            </w:r>
          </w:p>
        </w:tc>
        <w:tc>
          <w:tcPr>
            <w:tcW w:type="dxa" w:w="1661"/>
          </w:tcPr>
          <w:p>
            <w:pPr>
              <w:pStyle w:val="null3"/>
            </w:pPr>
            <w:r>
              <w:rPr>
                <w:rFonts w:ascii="仿宋_GB2312" w:hAnsi="仿宋_GB2312" w:cs="仿宋_GB2312" w:eastAsia="仿宋_GB2312"/>
              </w:rPr>
              <w:t>开标一览表 业绩.docx 应急处置方案.docx 中小企业声明函.docx 服务内容偏离表.docx 服务质量保证措施.docx 其他相关资料.docx 商务响应表.docx 进度安排及保证措施.docx 项目的整体实施方案.docx 投标函 残疾人福利性单位声明函 标的清单 投标文件封面 资格审查资料.docx 对本项目的理解及分析.docx 监狱企业的证明文件 专用设备配备方案.docx 服务安全保障方案.docx 项目负责人及其他人员配备情况.docx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其他招标文件或法律法规明确规定投标无效的事项</w:t>
            </w:r>
          </w:p>
        </w:tc>
        <w:tc>
          <w:tcPr>
            <w:tcW w:type="dxa" w:w="3322"/>
          </w:tcPr>
          <w:p>
            <w:pPr>
              <w:pStyle w:val="null3"/>
            </w:pPr>
            <w:r>
              <w:rPr>
                <w:rFonts w:ascii="仿宋_GB2312" w:hAnsi="仿宋_GB2312" w:cs="仿宋_GB2312" w:eastAsia="仿宋_GB2312"/>
              </w:rPr>
              <w:t>无其他招标文件或法律法规明确规定投标无效的事项</w:t>
            </w:r>
          </w:p>
        </w:tc>
        <w:tc>
          <w:tcPr>
            <w:tcW w:type="dxa" w:w="1661"/>
          </w:tcPr>
          <w:p>
            <w:pPr>
              <w:pStyle w:val="null3"/>
            </w:pPr>
            <w:r>
              <w:rPr>
                <w:rFonts w:ascii="仿宋_GB2312" w:hAnsi="仿宋_GB2312" w:cs="仿宋_GB2312" w:eastAsia="仿宋_GB2312"/>
              </w:rPr>
              <w:t>开标一览表 业绩.docx 应急处置方案.docx 中小企业声明函.docx 服务内容偏离表.docx 服务质量保证措施.docx 其他相关资料.docx 商务响应表.docx 进度安排及保证措施.docx 项目的整体实施方案.docx 投标函 残疾人福利性单位声明函 标的清单 资格审查资料.docx 投标文件封面 对本项目的理解及分析.docx 监狱企业的证明文件 专用设备配备方案.docx 服务安全保障方案.docx 项目负责人及其他人员配备情况.docx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1、对照招标文件，对技术参数和 要求等内容做出的实质性响应，按其响应程度计分，产品品牌、规格、型号描述详细，性能全部满足招标文件得基本分（13分）。 2、加分项（2分）：在基本分的基础上，响应产品技术参数经评标委员会认定确实优于招标文件规定的参数要求，并且对项目实施和应用有实质性提升的（提供证明材料），根据其响应程度进行相应加分，每正偏离一项加0.5分，最多加2分。未提供证明材料的不予加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针对本项目提供完整详细的项目实施方案。内容包含：①供货、配送方案；②进度计划措施；③人员配备；④验收组织方案；⑤产品调换方案及应急处理方案；⑥台账建立和影像资料的留存方案。 二、评审标准 1、完整性：方案须全面，对评审内容中的各项要求有详细描述； 2、可实施性：切合本项目实际情况，实施步骤清晰、合理； 3、针对性：方案能够紧扣项目实际情况，内容科学合理。 三、赋分依据 ①供货、配送方案：每完全满足一个评审标准得1.5分，满分4.5分； ②进度计划措施：每完全满足一个评审标准得1.5分，满分4.5分； ③人员配备：每完全满足一个评审标准得1.5分，满分4.5分； ④验收组织方案：每完全满足一个评审标准得1.5分，满分4.5分； ⑤产品调换方案及应急处理方案：每完全满足一个评审标准得1 分，满分3分； ⑥台账建立和影像资料的留存方案：每完全满足一个评审标准得1 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根据项目实际需求，提供质量保证方案。内容包含：①质量管理措施；②所投产品制造厂家有可靠、完善的管理制度；③产品的质量保证方案及承诺。 二、评审标准 1、完整性：方案须全面，对评审内容中的各项要求有详细描述； 2、可实施性：切合本项目实际情况，实施步骤清晰、合理； 3、针对性：方案能够紧扣项目实际情况，内容科学合理。 三、赋分依据 ①质量管理措施：每完全满足一个评审标准得1分，满分3分； ②所投产品制造厂家有可靠、完善的管理制度：每完全满足一个评审标准得1分，满分3分； ③产品的质量保证方案及承诺:每完全满足一个评审标准得1分，满分3分。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投标人提供所投产品的合法来源渠道证明文件或情况说明，得4分，不提供不得分。投标人可根据自身情况提供以下资料： 1、如投标人为所投产品经销商：提供货物的合法来源渠道证明文件（例如：产品制造商授权、销售协议、代理协议、检验报告等证明文件）； 2、如投标人为所投产品的制造商：需提供证明文件（证明产品为制造商自己生产及检验报告）。 每一个产品的资料提供全的，得1分，最高得4分.备注：以加盖投标人公章的证明材料复印件或扫描件为计分依据。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根据项目实际需求提供售后及培训服务方案。内容包含：①售后服务方案、售后服务保障措施；②健全的售后服务机构、配备专职售后人员；③售后服务承诺；④技术咨询及指导方案。 二、评审标准 1、完整性：方案须全面，对评审内容中的各项要求有详细描述； 2、可实施性：切合本项目实际情况，提出步骤清晰、合理的方案； 3、针对性：方案能够紧扣项目实际情况，内容科学合理。 三、赋分依据 ①售后服务方案、售后服务保障措施：每完全满足一个评审标准得1分，满分3分； ②健全的售后服务机构、配备专职售后人员：每完全满足一个评审标准得1分，满分3分； ③售后服务承诺：每完全满足一个评审标准得1分，满分3分； ④技术咨询及指导方案：每完全满足一个评审标准得1分，满分3分。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提供2023年1月1日至今类似项目的合同或中标（成交）通知书（以所提供资料的落款时间为准），每提供一份业绩计2分，最高6分。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对本项目的理解及分析</w:t>
            </w:r>
          </w:p>
        </w:tc>
        <w:tc>
          <w:tcPr>
            <w:tcW w:type="dxa" w:w="2492"/>
          </w:tcPr>
          <w:p>
            <w:pPr>
              <w:pStyle w:val="null3"/>
            </w:pPr>
            <w:r>
              <w:rPr>
                <w:rFonts w:ascii="仿宋_GB2312" w:hAnsi="仿宋_GB2312" w:cs="仿宋_GB2312" w:eastAsia="仿宋_GB2312"/>
              </w:rPr>
              <w:t>一、评审内容 根据项目实际需求提供针对本项目的理解及分析，内容包含： ①项目实施背景；②阐述农作物病虫害防控对全面提升粮食生产能力水平的作用；③重点、难点等关键技术问题保障措施。 二、评审标准 1 、完整性：方案须全面，对评审内容中的各项要求有详细描述； 2 、可实施性：切合本项目实际情况，实施步骤清晰、合理； 3 、针对性：方案能够紧扣项目实际情况，内容科学合理。 三、赋分依据 ①项目实施背景：每完全满足一个评审标准得1分，满分3分； ②阐述农作物病虫害防控对全面提升粮食生产能力水平的作用：每完全满足一个评审标准得1分，满分3分； ③重点、难点等关键技术问题保障措施：每完全满足一个评审标准得1分，满分3分。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对本项目的理解及分析.docx</w:t>
            </w:r>
          </w:p>
        </w:tc>
      </w:tr>
      <w:tr>
        <w:tc>
          <w:tcPr>
            <w:tcW w:type="dxa" w:w="831"/>
            <w:vMerge/>
          </w:tcPr>
          <w:p/>
        </w:tc>
        <w:tc>
          <w:tcPr>
            <w:tcW w:type="dxa" w:w="1661"/>
          </w:tcPr>
          <w:p>
            <w:pPr>
              <w:pStyle w:val="null3"/>
            </w:pPr>
            <w:r>
              <w:rPr>
                <w:rFonts w:ascii="仿宋_GB2312" w:hAnsi="仿宋_GB2312" w:cs="仿宋_GB2312" w:eastAsia="仿宋_GB2312"/>
              </w:rPr>
              <w:t>项目的整体实施方案</w:t>
            </w:r>
          </w:p>
        </w:tc>
        <w:tc>
          <w:tcPr>
            <w:tcW w:type="dxa" w:w="2492"/>
          </w:tcPr>
          <w:p>
            <w:pPr>
              <w:pStyle w:val="null3"/>
            </w:pPr>
            <w:r>
              <w:rPr>
                <w:rFonts w:ascii="仿宋_GB2312" w:hAnsi="仿宋_GB2312" w:cs="仿宋_GB2312" w:eastAsia="仿宋_GB2312"/>
              </w:rPr>
              <w:t>一、评审内容 根据项目实际需求提供项目的整体实施方案，内容包含:①项目实施计划；②作业面的划分；③病虫害防治措施；④效益评估与风险控制。 二、评审标准 1 、完整性：方案须全面，对评审内容中的各项要求有详细描述； 2 、可实施性：切合本项目实际情况，提出步骤清晰、合理的方案； 3 、针对性：方案能够紧扣项目实际情况，内容科学合理。 三、赋分依据 ①项目实施计划：每完全满足一个评审标准得1分，满分3分； ②作业面的划分：每完全满足一个评审标准得1分，满分3分； ③病虫害防治措施：每完全满足一个评审标准得1分，满分3分； ④效益评估与风险控制：每完全满足一个评审标准得1分，满分3分。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项目的整体实施方案.docx</w:t>
            </w:r>
          </w:p>
        </w:tc>
      </w:tr>
      <w:tr>
        <w:tc>
          <w:tcPr>
            <w:tcW w:type="dxa" w:w="831"/>
            <w:vMerge/>
          </w:tcPr>
          <w:p/>
        </w:tc>
        <w:tc>
          <w:tcPr>
            <w:tcW w:type="dxa" w:w="1661"/>
          </w:tcPr>
          <w:p>
            <w:pPr>
              <w:pStyle w:val="null3"/>
            </w:pPr>
            <w:r>
              <w:rPr>
                <w:rFonts w:ascii="仿宋_GB2312" w:hAnsi="仿宋_GB2312" w:cs="仿宋_GB2312" w:eastAsia="仿宋_GB2312"/>
              </w:rPr>
              <w:t>进度安排及保证措施</w:t>
            </w:r>
          </w:p>
        </w:tc>
        <w:tc>
          <w:tcPr>
            <w:tcW w:type="dxa" w:w="2492"/>
          </w:tcPr>
          <w:p>
            <w:pPr>
              <w:pStyle w:val="null3"/>
            </w:pPr>
            <w:r>
              <w:rPr>
                <w:rFonts w:ascii="仿宋_GB2312" w:hAnsi="仿宋_GB2312" w:cs="仿宋_GB2312" w:eastAsia="仿宋_GB2312"/>
              </w:rPr>
              <w:t>一、评审内容 根据项目实际需求提供进度安排及保证措施，内容包含：①总体作业进度安排；②服务进度保证措施。 二、评审标准 1 、完整性：方案须全面，对评审内容中的各项要求有详细描述； 2 、可实施性：切合本项目实际情况，提出步骤清晰、合理的方案； 3 、针对性：方案能够紧扣项目实际情况，内容科学合理。 三、赋分依据 ①总体作业进度安排：每完全满足一个评审标准得0.5分，满分1.5分； ②服务进度保证措施：每完全满足一个评审标准得0.5分，满分1.5分。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进度安排及保证措施.docx</w:t>
            </w:r>
          </w:p>
        </w:tc>
      </w:tr>
      <w:tr>
        <w:tc>
          <w:tcPr>
            <w:tcW w:type="dxa" w:w="831"/>
            <w:vMerge/>
          </w:tcPr>
          <w:p/>
        </w:tc>
        <w:tc>
          <w:tcPr>
            <w:tcW w:type="dxa" w:w="1661"/>
          </w:tcPr>
          <w:p>
            <w:pPr>
              <w:pStyle w:val="null3"/>
            </w:pPr>
            <w:r>
              <w:rPr>
                <w:rFonts w:ascii="仿宋_GB2312" w:hAnsi="仿宋_GB2312" w:cs="仿宋_GB2312" w:eastAsia="仿宋_GB2312"/>
              </w:rPr>
              <w:t>专用设备配备方案</w:t>
            </w:r>
          </w:p>
        </w:tc>
        <w:tc>
          <w:tcPr>
            <w:tcW w:type="dxa" w:w="2492"/>
          </w:tcPr>
          <w:p>
            <w:pPr>
              <w:pStyle w:val="null3"/>
            </w:pPr>
            <w:r>
              <w:rPr>
                <w:rFonts w:ascii="仿宋_GB2312" w:hAnsi="仿宋_GB2312" w:cs="仿宋_GB2312" w:eastAsia="仿宋_GB2312"/>
              </w:rPr>
              <w:t>开展航化作业的无人机设备，每提供一架无人机购机发票或租赁合同及设备清单（须注明型号、药箱容量、续航时间等关键参数）得0.5分，最高得3分；资料不全或未提供相应资料不得分。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专用设备配备方案.docx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根据项目实际需求提供服务质量保证方案，内容包含：①质量目标；②质量管理体系；③质量保证措施；④质量保证承诺；⑤效果验收措施。 二、评审标准 1 、完整性：方案须全面，对评审内容中的各项要求有详细描述； 2 、可实施性：切合本项目实际情况，提出步骤清晰、合理的方案； 3 、针对性：方案能够紧扣项目实际情况，内容科学合理。 三、赋分依据 ①质量目标：每完全满足一个评审标准得1分，满分3分； ②质量管理体系：每完全满足一个评审标准得1分，满分3分； ③质量保证措施;每完全满足一个评审标准得1分，满分3分； ④质量保证承诺:每完全满足一个评审标准得1分，满分3分； ⑤效果验收措施:每完全满足一个评审标准得1分，满分3分。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服务质量保证措施.docx</w:t>
            </w:r>
          </w:p>
        </w:tc>
      </w:tr>
      <w:tr>
        <w:tc>
          <w:tcPr>
            <w:tcW w:type="dxa" w:w="831"/>
            <w:vMerge/>
          </w:tcPr>
          <w:p/>
        </w:tc>
        <w:tc>
          <w:tcPr>
            <w:tcW w:type="dxa" w:w="1661"/>
          </w:tcPr>
          <w:p>
            <w:pPr>
              <w:pStyle w:val="null3"/>
            </w:pPr>
            <w:r>
              <w:rPr>
                <w:rFonts w:ascii="仿宋_GB2312" w:hAnsi="仿宋_GB2312" w:cs="仿宋_GB2312" w:eastAsia="仿宋_GB2312"/>
              </w:rPr>
              <w:t>服务安全保障方案</w:t>
            </w:r>
          </w:p>
        </w:tc>
        <w:tc>
          <w:tcPr>
            <w:tcW w:type="dxa" w:w="2492"/>
          </w:tcPr>
          <w:p>
            <w:pPr>
              <w:pStyle w:val="null3"/>
            </w:pPr>
            <w:r>
              <w:rPr>
                <w:rFonts w:ascii="仿宋_GB2312" w:hAnsi="仿宋_GB2312" w:cs="仿宋_GB2312" w:eastAsia="仿宋_GB2312"/>
              </w:rPr>
              <w:t>一、评审内容 根据项目实际需求提供服务安全保障方案，内容包含：①在作业过程中人员安全保障措施；②作业环境安全防范措施；③药剂使用安全保障；④安全保证承诺。 二、评审标准 1 、完整性：方案须全面，对评审内容中的各项要求有详细描述； 2 、可实施性：切合本项目实际情况，提出步骤清晰、合理的方案； 3 、针对性：方案能够紧扣项目实际情况，内容科学合理。 三、赋分依据 ①在作业过程中人员安全保障措施：每完全满足一个评审标准得1分，满分3分； ②作业环境安全防范措施：每完全满足一个评审标准得1分，满分3分； ③药剂使用安全保障：每完全满足一个评审标准得1分，满分3分； ④安全保证承诺:每完全满足一个评审标准得1分，满分3分；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服务安全保障方案.docx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根据项目实际需求提供应急处置方案，内容包含：①应急组织机构；②应急响应流程；③作业过程中突发状况的应急处理方案；④应急保障措施。 二、评审标准 1 、完整性：方案须全面，对评审内容中的各项要求有详细描述； 2 、可实施性：切合本项目实际情况，提出步骤清晰、合理的方案； 3 、针对性：方案能够紧扣项目实际情况，内容科学合理。 三、赋分依据 ①应急组织机构：每完全满足一个评审标准得0.5分，满分1.5分； ②应急响应流程：每完全满足一个评审标准得0.5分，满分1.5分； ③业过程中突发状况的应急处理方案：每完全满足一个评审标准得0.5分，满分1.5分； ④应急保障措施:每完全满足一个评审标准得0.5分，满分1.5分。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应急处置方案.docx</w:t>
            </w:r>
          </w:p>
        </w:tc>
      </w:tr>
      <w:tr>
        <w:tc>
          <w:tcPr>
            <w:tcW w:type="dxa" w:w="831"/>
            <w:vMerge/>
          </w:tcPr>
          <w:p/>
        </w:tc>
        <w:tc>
          <w:tcPr>
            <w:tcW w:type="dxa" w:w="1661"/>
          </w:tcPr>
          <w:p>
            <w:pPr>
              <w:pStyle w:val="null3"/>
            </w:pPr>
            <w:r>
              <w:rPr>
                <w:rFonts w:ascii="仿宋_GB2312" w:hAnsi="仿宋_GB2312" w:cs="仿宋_GB2312" w:eastAsia="仿宋_GB2312"/>
              </w:rPr>
              <w:t>项目负责人及其他人员配备情况</w:t>
            </w:r>
          </w:p>
        </w:tc>
        <w:tc>
          <w:tcPr>
            <w:tcW w:type="dxa" w:w="2492"/>
          </w:tcPr>
          <w:p>
            <w:pPr>
              <w:pStyle w:val="null3"/>
            </w:pPr>
            <w:r>
              <w:rPr>
                <w:rFonts w:ascii="仿宋_GB2312" w:hAnsi="仿宋_GB2312" w:cs="仿宋_GB2312" w:eastAsia="仿宋_GB2312"/>
              </w:rPr>
              <w:t>1、拟派项目负责人具有农业类相关专业高级证书得1分；具有农业类相关专业中级证书得0.5分。提供人员专业技术能力证明材料，未提供不得分。 2、项目组人员中（项目负责人除外）每具有一个农业方面专业技术人员得0.5分，本项最高得3分。提供人员专业技术能力证明材料，未提供不得分。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项目负责人及其他人员配备情况.docx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提供2023年1月1日至今类似项目的合同或中标（成交）通知书（以所提供资料的落款时间为准），每提供一份业绩计2分，最高6分。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详见附件：来源渠道.docx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详见附件：服务内容偏离表.docx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详见附件：对本项目的理解及分析.docx</w:t>
      </w:r>
    </w:p>
    <w:p>
      <w:pPr>
        <w:pStyle w:val="null3"/>
        <w:ind w:firstLine="960"/>
      </w:pPr>
      <w:r>
        <w:rPr>
          <w:rFonts w:ascii="仿宋_GB2312" w:hAnsi="仿宋_GB2312" w:cs="仿宋_GB2312" w:eastAsia="仿宋_GB2312"/>
        </w:rPr>
        <w:t>详见附件：项目的整体实施方案.docx</w:t>
      </w:r>
    </w:p>
    <w:p>
      <w:pPr>
        <w:pStyle w:val="null3"/>
        <w:ind w:firstLine="960"/>
      </w:pPr>
      <w:r>
        <w:rPr>
          <w:rFonts w:ascii="仿宋_GB2312" w:hAnsi="仿宋_GB2312" w:cs="仿宋_GB2312" w:eastAsia="仿宋_GB2312"/>
        </w:rPr>
        <w:t>详见附件：进度安排及保证措施.docx</w:t>
      </w:r>
    </w:p>
    <w:p>
      <w:pPr>
        <w:pStyle w:val="null3"/>
        <w:ind w:firstLine="960"/>
      </w:pPr>
      <w:r>
        <w:rPr>
          <w:rFonts w:ascii="仿宋_GB2312" w:hAnsi="仿宋_GB2312" w:cs="仿宋_GB2312" w:eastAsia="仿宋_GB2312"/>
        </w:rPr>
        <w:t>详见附件：专用设备配备方案.docx</w:t>
      </w:r>
    </w:p>
    <w:p>
      <w:pPr>
        <w:pStyle w:val="null3"/>
        <w:ind w:firstLine="960"/>
      </w:pPr>
      <w:r>
        <w:rPr>
          <w:rFonts w:ascii="仿宋_GB2312" w:hAnsi="仿宋_GB2312" w:cs="仿宋_GB2312" w:eastAsia="仿宋_GB2312"/>
        </w:rPr>
        <w:t>详见附件：服务质量保证措施.docx</w:t>
      </w:r>
    </w:p>
    <w:p>
      <w:pPr>
        <w:pStyle w:val="null3"/>
        <w:ind w:firstLine="960"/>
      </w:pPr>
      <w:r>
        <w:rPr>
          <w:rFonts w:ascii="仿宋_GB2312" w:hAnsi="仿宋_GB2312" w:cs="仿宋_GB2312" w:eastAsia="仿宋_GB2312"/>
        </w:rPr>
        <w:t>详见附件：服务安全保障方案.docx</w:t>
      </w:r>
    </w:p>
    <w:p>
      <w:pPr>
        <w:pStyle w:val="null3"/>
        <w:ind w:firstLine="960"/>
      </w:pPr>
      <w:r>
        <w:rPr>
          <w:rFonts w:ascii="仿宋_GB2312" w:hAnsi="仿宋_GB2312" w:cs="仿宋_GB2312" w:eastAsia="仿宋_GB2312"/>
        </w:rPr>
        <w:t>详见附件：应急处置方案.docx</w:t>
      </w:r>
    </w:p>
    <w:p>
      <w:pPr>
        <w:pStyle w:val="null3"/>
        <w:ind w:firstLine="960"/>
      </w:pPr>
      <w:r>
        <w:rPr>
          <w:rFonts w:ascii="仿宋_GB2312" w:hAnsi="仿宋_GB2312" w:cs="仿宋_GB2312" w:eastAsia="仿宋_GB2312"/>
        </w:rPr>
        <w:t>详见附件：项目负责人及其他人员配备情况.docx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