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版本号：FT2026-CGZB-03230120260407001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富平柿饼品牌提升集成服务项目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FT2026-CGZB-032301</w:t>
      </w:r>
      <w:r>
        <w:br/>
      </w:r>
      <w:r>
        <w:br/>
      </w:r>
      <w:r>
        <w:br/>
      </w:r>
    </w:p>
    <w:p>
      <w:pPr>
        <w:pStyle w:val="null3"/>
        <w:jc w:val="center"/>
        <w:outlineLvl w:val="2"/>
      </w:pPr>
      <w:r>
        <w:rPr>
          <w:rFonts w:ascii="仿宋_GB2312" w:hAnsi="仿宋_GB2312" w:cs="仿宋_GB2312" w:eastAsia="仿宋_GB2312"/>
          <w:sz w:val="28"/>
          <w:b/>
        </w:rPr>
        <w:t>富平县果业发展中心</w:t>
      </w:r>
    </w:p>
    <w:p>
      <w:pPr>
        <w:pStyle w:val="null3"/>
        <w:jc w:val="center"/>
        <w:outlineLvl w:val="2"/>
      </w:pPr>
      <w:r>
        <w:rPr>
          <w:rFonts w:ascii="仿宋_GB2312" w:hAnsi="仿宋_GB2312" w:cs="仿宋_GB2312" w:eastAsia="仿宋_GB2312"/>
          <w:sz w:val="28"/>
          <w:b/>
        </w:rPr>
        <w:t>陕西奋泰项目管理有限公司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陕西奋泰项目管理有限公司</w:t>
      </w:r>
      <w:r>
        <w:rPr>
          <w:rFonts w:ascii="仿宋_GB2312" w:hAnsi="仿宋_GB2312" w:cs="仿宋_GB2312" w:eastAsia="仿宋_GB2312"/>
        </w:rPr>
        <w:t>（以下简称“代理机构”）受</w:t>
      </w:r>
      <w:r>
        <w:rPr>
          <w:rFonts w:ascii="仿宋_GB2312" w:hAnsi="仿宋_GB2312" w:cs="仿宋_GB2312" w:eastAsia="仿宋_GB2312"/>
        </w:rPr>
        <w:t>富平县果业发展中心</w:t>
      </w:r>
      <w:r>
        <w:rPr>
          <w:rFonts w:ascii="仿宋_GB2312" w:hAnsi="仿宋_GB2312" w:cs="仿宋_GB2312" w:eastAsia="仿宋_GB2312"/>
        </w:rPr>
        <w:t>委托，拟对</w:t>
      </w:r>
      <w:r>
        <w:rPr>
          <w:rFonts w:ascii="仿宋_GB2312" w:hAnsi="仿宋_GB2312" w:cs="仿宋_GB2312" w:eastAsia="仿宋_GB2312"/>
        </w:rPr>
        <w:t>富平柿饼品牌提升集成服务项目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FT2026-CGZB-032301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富平柿饼品牌提升集成服务项目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安装土壤墒情管理系统、环境监测设备，采购自动化削皮机智能化设备;开展标准化生产技术培训与现场指导等有利于宣传、推广区域共用品牌的相关会议活动。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1、营业执照等主体证明：供应商具有独立承担民事责任能力的法人、其他组织或自然人，并出具合法有效的营业执照或事业单位法人证书等国家规定的相关证明，自然人参与的提供其合法登记证明文件； 投标文件中应提供：上述相关证件资料的复印件或扫描件并加盖供应商公章;</w:t>
      </w:r>
    </w:p>
    <w:p>
      <w:pPr>
        <w:pStyle w:val="null3"/>
      </w:pPr>
      <w:r>
        <w:rPr>
          <w:rFonts w:ascii="仿宋_GB2312" w:hAnsi="仿宋_GB2312" w:cs="仿宋_GB2312" w:eastAsia="仿宋_GB2312"/>
        </w:rPr>
        <w:t>2、法定代表人身份证明/法定代表人授权委托书：法定代表人参加投标的，须提供法定代表人身份证明；法定代表人授权他人参加投标的，须提供法定代表人委托授权书；磋商文件中凡是需要法定代表人签字或盖章之处，非法人单位的负责人均参照执行;</w:t>
      </w:r>
    </w:p>
    <w:p>
      <w:pPr>
        <w:pStyle w:val="null3"/>
      </w:pPr>
      <w:r>
        <w:rPr>
          <w:rFonts w:ascii="仿宋_GB2312" w:hAnsi="仿宋_GB2312" w:cs="仿宋_GB2312" w:eastAsia="仿宋_GB2312"/>
        </w:rPr>
        <w:t>3、提供健全的财务会计制度的证明材料：须提供2024年或2025年经审计的财务报告，（成立时间至提交投标文件截止时间不足一年的可提供成立后任意时段的资产负债表），或其基本存款账户开户银行出具的资信证明及基本存款账户开户许可证 ；</w:t>
      </w:r>
    </w:p>
    <w:p>
      <w:pPr>
        <w:pStyle w:val="null3"/>
      </w:pPr>
      <w:r>
        <w:rPr>
          <w:rFonts w:ascii="仿宋_GB2312" w:hAnsi="仿宋_GB2312" w:cs="仿宋_GB2312" w:eastAsia="仿宋_GB2312"/>
        </w:rPr>
        <w:t>4、税收缴纳证明：须提供依法缴纳税收资金的良好记录（提供投标截止时间前六个月内任意一个月份的缴费凭据复印 件并加盖投标单位公章）；</w:t>
      </w:r>
    </w:p>
    <w:p>
      <w:pPr>
        <w:pStyle w:val="null3"/>
      </w:pPr>
      <w:r>
        <w:rPr>
          <w:rFonts w:ascii="仿宋_GB2312" w:hAnsi="仿宋_GB2312" w:cs="仿宋_GB2312" w:eastAsia="仿宋_GB2312"/>
        </w:rPr>
        <w:t>5、社会保障资金的良好记录：须提供依法缴纳社会保障资金的良好记录（提供投标截止时间前六个月内任意一个月份的 缴纳凭据复印件并加盖单位公章）;</w:t>
      </w:r>
    </w:p>
    <w:p>
      <w:pPr>
        <w:pStyle w:val="null3"/>
      </w:pPr>
      <w:r>
        <w:rPr>
          <w:rFonts w:ascii="仿宋_GB2312" w:hAnsi="仿宋_GB2312" w:cs="仿宋_GB2312" w:eastAsia="仿宋_GB2312"/>
        </w:rPr>
        <w:t>6、具有履行合同所必需的设备和专业技术能力：提供具有履行合同所必需的设备和专业技术能力声明;</w:t>
      </w:r>
    </w:p>
    <w:p>
      <w:pPr>
        <w:pStyle w:val="null3"/>
      </w:pPr>
      <w:r>
        <w:rPr>
          <w:rFonts w:ascii="仿宋_GB2312" w:hAnsi="仿宋_GB2312" w:cs="仿宋_GB2312" w:eastAsia="仿宋_GB2312"/>
        </w:rPr>
        <w:t>7、供应商参加政府采购活动前三年内，在经营活动中无重大违法记录：供应商参加政府采购活动前三年内，在经营活动中无重大违法记录的书面声明（成立时间至提交响应文件截止时间不足三年的可提供成立至今的书面声明）;</w:t>
      </w:r>
    </w:p>
    <w:p>
      <w:pPr>
        <w:pStyle w:val="null3"/>
      </w:pPr>
      <w:r>
        <w:rPr>
          <w:rFonts w:ascii="仿宋_GB2312" w:hAnsi="仿宋_GB2312" w:cs="仿宋_GB2312" w:eastAsia="仿宋_GB2312"/>
        </w:rPr>
        <w:t>8、信用查询：投标截止日前不得为“信用中国”网站（www.creditchina.gov.cn）中列入失信被执行人、重大税收违法案件当事人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9、保证金转账凭证或保函复印件：提供投标保证金转账凭证及开户银行许可证复印件并加盖投标单位公章；</w:t>
      </w:r>
    </w:p>
    <w:p>
      <w:pPr>
        <w:pStyle w:val="null3"/>
      </w:pPr>
      <w:r>
        <w:rPr>
          <w:rFonts w:ascii="仿宋_GB2312" w:hAnsi="仿宋_GB2312" w:cs="仿宋_GB2312" w:eastAsia="仿宋_GB2312"/>
        </w:rPr>
        <w:t>10、书面声明：提供单位负责人为同一人或者存在直接控股、管理关系的不同供应商，不得参加同一合同项下的政府采购活动的书面声明；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11、本项目不接受联合体投标：本项目不接受联合体投标,投标单位应提供非联合体声明；</w:t>
      </w:r>
    </w:p>
    <w:p>
      <w:pPr>
        <w:pStyle w:val="null3"/>
      </w:pPr>
      <w:r>
        <w:rPr>
          <w:rFonts w:ascii="仿宋_GB2312" w:hAnsi="仿宋_GB2312" w:cs="仿宋_GB2312" w:eastAsia="仿宋_GB2312"/>
        </w:rPr>
        <w:t>12、是否面向中小型企业：非专门面向中小型企业。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富平县果业发展中心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富平县莲湖大街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富平县果业发展中心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13572738703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陕西奋泰项目管理有限公司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陕西省西安市未央区太华北路安徽大厦17楼1706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19929243271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开户名称：陕西奋泰项目管理有限公司</w:t>
            </w:r>
          </w:p>
          <w:p>
            <w:pPr>
              <w:pStyle w:val="null3"/>
            </w:pPr>
            <w:r>
              <w:rPr>
                <w:rFonts w:ascii="仿宋_GB2312" w:hAnsi="仿宋_GB2312" w:cs="仿宋_GB2312" w:eastAsia="仿宋_GB2312"/>
              </w:rPr>
              <w:t>开户银行：中国建设银行股份有限公司富平县东新街支行</w:t>
            </w:r>
          </w:p>
          <w:p>
            <w:pPr>
              <w:pStyle w:val="null3"/>
            </w:pPr>
            <w:r>
              <w:rPr>
                <w:rFonts w:ascii="仿宋_GB2312" w:hAnsi="仿宋_GB2312" w:cs="仿宋_GB2312" w:eastAsia="仿宋_GB2312"/>
              </w:rPr>
              <w:t>银行账号：61050164831500002007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富平县果业发展中心</w:t>
      </w:r>
      <w:r>
        <w:rPr>
          <w:rFonts w:ascii="仿宋_GB2312" w:hAnsi="仿宋_GB2312" w:cs="仿宋_GB2312" w:eastAsia="仿宋_GB2312"/>
        </w:rPr>
        <w:t>和</w:t>
      </w:r>
      <w:r>
        <w:rPr>
          <w:rFonts w:ascii="仿宋_GB2312" w:hAnsi="仿宋_GB2312" w:cs="仿宋_GB2312" w:eastAsia="仿宋_GB2312"/>
        </w:rPr>
        <w:t>陕西奋泰项目管理有限公司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富平县果业发展中心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陕西奋泰项目管理有限公司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富平县果业发展中心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陕西奋泰项目管理有限公司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符合国家法律法规规定，同时满足采购文件及采购响应文件中明确的技术标准与要求。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陕西奋泰项目管理有限公司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陕西奋泰项目管理有限公司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陕西奋泰项目管理有限公司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联系人：张蕾</w:t>
      </w:r>
    </w:p>
    <w:p>
      <w:pPr>
        <w:pStyle w:val="null3"/>
      </w:pPr>
      <w:r>
        <w:rPr>
          <w:rFonts w:ascii="仿宋_GB2312" w:hAnsi="仿宋_GB2312" w:cs="仿宋_GB2312" w:eastAsia="仿宋_GB2312"/>
        </w:rPr>
        <w:t>联系电话：19929243271</w:t>
      </w:r>
    </w:p>
    <w:p>
      <w:pPr>
        <w:pStyle w:val="null3"/>
      </w:pPr>
      <w:r>
        <w:rPr>
          <w:rFonts w:ascii="仿宋_GB2312" w:hAnsi="仿宋_GB2312" w:cs="仿宋_GB2312" w:eastAsia="仿宋_GB2312"/>
        </w:rPr>
        <w:t>地址：陕西省渭南市富平县温泉南路144号</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安装土壤墒情管理系统、环境监测设备，采购自动化削皮机智能化设备;开展标准化生产技术培训与现场指导等有利于宣传、推广区域共用品牌的相关会议活动。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富平柿饼品牌提升集成服务项目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标的名称：富平柿饼品牌提升集成服务项目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服务标准：符合国家相关行业标准及技术规范；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服务期限：自合同签订之日起 1年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服务要求：</w:t>
            </w:r>
            <w:r>
              <w:rPr>
                <w:rFonts w:ascii="仿宋_GB2312" w:hAnsi="仿宋_GB2312" w:cs="仿宋_GB2312" w:eastAsia="仿宋_GB2312"/>
                <w:sz w:val="21"/>
              </w:rPr>
              <w:t>1</w:t>
            </w:r>
            <w:r>
              <w:rPr>
                <w:rFonts w:ascii="仿宋_GB2312" w:hAnsi="仿宋_GB2312" w:cs="仿宋_GB2312" w:eastAsia="仿宋_GB2312"/>
                <w:sz w:val="21"/>
              </w:rPr>
              <w:t>.提供完整的实施方案、技术方案、售后服务方案；</w:t>
            </w:r>
            <w:r>
              <w:rPr>
                <w:rFonts w:ascii="仿宋_GB2312" w:hAnsi="仿宋_GB2312" w:cs="仿宋_GB2312" w:eastAsia="仿宋_GB2312"/>
                <w:sz w:val="21"/>
              </w:rPr>
              <w:t>2</w:t>
            </w:r>
            <w:r>
              <w:rPr>
                <w:rFonts w:ascii="仿宋_GB2312" w:hAnsi="仿宋_GB2312" w:cs="仿宋_GB2312" w:eastAsia="仿宋_GB2312"/>
                <w:sz w:val="21"/>
              </w:rPr>
              <w:t>.配备专业技术人员，确保系统稳定运行；</w:t>
            </w:r>
            <w:r>
              <w:rPr>
                <w:rFonts w:ascii="仿宋_GB2312" w:hAnsi="仿宋_GB2312" w:cs="仿宋_GB2312" w:eastAsia="仿宋_GB2312"/>
                <w:sz w:val="21"/>
              </w:rPr>
              <w:t>3</w:t>
            </w:r>
            <w:r>
              <w:rPr>
                <w:rFonts w:ascii="仿宋_GB2312" w:hAnsi="仿宋_GB2312" w:cs="仿宋_GB2312" w:eastAsia="仿宋_GB2312"/>
                <w:sz w:val="21"/>
              </w:rPr>
              <w:t>.服务期内需定期巡检、维护，及时处理系统故障；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服务范围：</w:t>
            </w:r>
            <w:r>
              <w:rPr>
                <w:rFonts w:ascii="仿宋_GB2312" w:hAnsi="仿宋_GB2312" w:cs="仿宋_GB2312" w:eastAsia="仿宋_GB2312"/>
                <w:sz w:val="21"/>
                <w:color w:val="000000"/>
              </w:rPr>
              <w:t>1.物联网环境监测服务:包括传感器部署、数据采集、通信网络搭建、数据平台开发等;2.系统集成与调试:完成硬件与软件系统的对接、测试与优化;3.数据采集与分析:对土壤温度水分电导率、土壤氮磷钾、PH值等数据进行实时采集与分析;4.平台运维服务:包括系统日常维护、数据备份、安全防护、故障排查等;5.用户培训与技术支持:为操作人员提供系统操作培训和技术支持服务</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0"/>
              <w:gridCol w:w="1991"/>
              <w:gridCol w:w="64"/>
              <w:gridCol w:w="64"/>
              <w:gridCol w:w="292"/>
            </w:tblGrid>
            <w:tr>
              <w:tc>
                <w:tcPr>
                  <w:tcW w:type="dxa" w:w="255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52"/>
                    </w:rPr>
                    <w:t>服务清单</w:t>
                  </w:r>
                </w:p>
              </w:tc>
            </w:tr>
            <w:tr>
              <w:tc>
                <w:tcPr>
                  <w:tcW w:type="dxa" w:w="14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名称</w:t>
                  </w:r>
                </w:p>
              </w:tc>
              <w:tc>
                <w:tcPr>
                  <w:tcW w:type="dxa" w:w="199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功能参数要求描述</w:t>
                  </w:r>
                </w:p>
              </w:tc>
              <w:tc>
                <w:tcPr>
                  <w:tcW w:type="dxa" w:w="6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数量</w:t>
                  </w:r>
                </w:p>
              </w:tc>
              <w:tc>
                <w:tcPr>
                  <w:tcW w:type="dxa" w:w="6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单位</w:t>
                  </w:r>
                </w:p>
              </w:tc>
              <w:tc>
                <w:tcPr>
                  <w:tcW w:type="dxa" w:w="29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备注</w:t>
                  </w:r>
                </w:p>
              </w:tc>
            </w:tr>
            <w:tr>
              <w:tc>
                <w:tcPr>
                  <w:tcW w:type="dxa" w:w="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一、环境监测服务</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物联网监测管理平台</w:t>
                  </w: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环境监测云平台服务。</w:t>
                  </w:r>
                </w:p>
                <w:p>
                  <w:pPr>
                    <w:pStyle w:val="null3"/>
                    <w:jc w:val="left"/>
                  </w:pPr>
                  <w:r>
                    <w:rPr>
                      <w:rFonts w:ascii="仿宋_GB2312" w:hAnsi="仿宋_GB2312" w:cs="仿宋_GB2312" w:eastAsia="仿宋_GB2312"/>
                      <w:sz w:val="21"/>
                      <w:color w:val="000000"/>
                    </w:rPr>
                    <w:t>综合环境云平台以先进的信息采集系统、物联网、云平台、大数据以及互联网等信息技术为基础，各级用户通过</w:t>
                  </w:r>
                  <w:r>
                    <w:rPr>
                      <w:rFonts w:ascii="仿宋_GB2312" w:hAnsi="仿宋_GB2312" w:cs="仿宋_GB2312" w:eastAsia="仿宋_GB2312"/>
                      <w:sz w:val="21"/>
                      <w:color w:val="000000"/>
                    </w:rPr>
                    <w:t>PC端WEB、APP客户端、微信端等多种渠道访问平台数据，实现远程系统管理功能。用户可实时对项目上每个重要参数进行实时监测、管理，同时实现基于平台的远程手动控制。</w:t>
                  </w:r>
                </w:p>
                <w:p>
                  <w:pPr>
                    <w:pStyle w:val="null3"/>
                    <w:jc w:val="left"/>
                  </w:pPr>
                  <w:r>
                    <w:rPr>
                      <w:rFonts w:ascii="仿宋_GB2312" w:hAnsi="仿宋_GB2312" w:cs="仿宋_GB2312" w:eastAsia="仿宋_GB2312"/>
                      <w:sz w:val="21"/>
                      <w:color w:val="000000"/>
                    </w:rPr>
                    <w:t>【访问方式】：</w:t>
                  </w:r>
                </w:p>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PC端账号密码登录、手机APP客户端登</w:t>
                  </w:r>
                </w:p>
                <w:p>
                  <w:pPr>
                    <w:pStyle w:val="null3"/>
                    <w:jc w:val="left"/>
                  </w:pPr>
                  <w:r>
                    <w:rPr>
                      <w:rFonts w:ascii="仿宋_GB2312" w:hAnsi="仿宋_GB2312" w:cs="仿宋_GB2312" w:eastAsia="仿宋_GB2312"/>
                      <w:sz w:val="21"/>
                      <w:color w:val="000000"/>
                    </w:rPr>
                    <w:t>【主题风格】：</w:t>
                  </w:r>
                </w:p>
                <w:p>
                  <w:pPr>
                    <w:pStyle w:val="null3"/>
                    <w:jc w:val="left"/>
                  </w:pPr>
                  <w:r>
                    <w:rPr>
                      <w:rFonts w:ascii="仿宋_GB2312" w:hAnsi="仿宋_GB2312" w:cs="仿宋_GB2312" w:eastAsia="仿宋_GB2312"/>
                      <w:sz w:val="21"/>
                      <w:color w:val="000000"/>
                    </w:rPr>
                    <w:t>支持多种皮肤展示，便于适应不同群体客户。</w:t>
                  </w:r>
                </w:p>
                <w:p>
                  <w:pPr>
                    <w:pStyle w:val="null3"/>
                    <w:jc w:val="left"/>
                  </w:pPr>
                  <w:r>
                    <w:rPr>
                      <w:rFonts w:ascii="仿宋_GB2312" w:hAnsi="仿宋_GB2312" w:cs="仿宋_GB2312" w:eastAsia="仿宋_GB2312"/>
                      <w:sz w:val="21"/>
                      <w:color w:val="000000"/>
                    </w:rPr>
                    <w:t>【首页展示】：</w:t>
                  </w:r>
                </w:p>
                <w:p>
                  <w:pPr>
                    <w:pStyle w:val="null3"/>
                    <w:jc w:val="left"/>
                  </w:pPr>
                  <w:r>
                    <w:rPr>
                      <w:rFonts w:ascii="仿宋_GB2312" w:hAnsi="仿宋_GB2312" w:cs="仿宋_GB2312" w:eastAsia="仿宋_GB2312"/>
                      <w:sz w:val="21"/>
                      <w:color w:val="000000"/>
                    </w:rPr>
                    <w:t>①、支持树形结构展示，支持在线设备、报警设备、离线设备快速筛选。</w:t>
                  </w:r>
                </w:p>
                <w:p>
                  <w:pPr>
                    <w:pStyle w:val="null3"/>
                    <w:jc w:val="left"/>
                  </w:pPr>
                  <w:r>
                    <w:rPr>
                      <w:rFonts w:ascii="仿宋_GB2312" w:hAnsi="仿宋_GB2312" w:cs="仿宋_GB2312" w:eastAsia="仿宋_GB2312"/>
                      <w:sz w:val="21"/>
                      <w:color w:val="000000"/>
                    </w:rPr>
                    <w:t>②、可通过快捷方式快速查看、修改设备信息，查询实时、历史、报警数据，支持数据曲线分析，并提供数据的下载分析功能。</w:t>
                  </w:r>
                </w:p>
                <w:p>
                  <w:pPr>
                    <w:pStyle w:val="null3"/>
                    <w:jc w:val="left"/>
                  </w:pPr>
                  <w:r>
                    <w:rPr>
                      <w:rFonts w:ascii="仿宋_GB2312" w:hAnsi="仿宋_GB2312" w:cs="仿宋_GB2312" w:eastAsia="仿宋_GB2312"/>
                      <w:sz w:val="21"/>
                      <w:color w:val="000000"/>
                    </w:rPr>
                    <w:t>③、快速查询设备定位信息并可通过软件快速标记设备坐标点。</w:t>
                  </w:r>
                </w:p>
                <w:p>
                  <w:pPr>
                    <w:pStyle w:val="null3"/>
                    <w:jc w:val="left"/>
                  </w:pPr>
                  <w:r>
                    <w:rPr>
                      <w:rFonts w:ascii="仿宋_GB2312" w:hAnsi="仿宋_GB2312" w:cs="仿宋_GB2312" w:eastAsia="仿宋_GB2312"/>
                      <w:sz w:val="21"/>
                      <w:color w:val="000000"/>
                    </w:rPr>
                    <w:t>④、可快速进行继电器远程控制，设备维护等操作。</w:t>
                  </w:r>
                </w:p>
                <w:p>
                  <w:pPr>
                    <w:pStyle w:val="null3"/>
                    <w:jc w:val="left"/>
                  </w:pPr>
                  <w:r>
                    <w:rPr>
                      <w:rFonts w:ascii="仿宋_GB2312" w:hAnsi="仿宋_GB2312" w:cs="仿宋_GB2312" w:eastAsia="仿宋_GB2312"/>
                      <w:sz w:val="21"/>
                      <w:color w:val="000000"/>
                    </w:rPr>
                    <w:t>【大屏可视化】：</w:t>
                  </w:r>
                </w:p>
                <w:p>
                  <w:pPr>
                    <w:pStyle w:val="null3"/>
                    <w:jc w:val="left"/>
                  </w:pPr>
                  <w:r>
                    <w:rPr>
                      <w:rFonts w:ascii="仿宋_GB2312" w:hAnsi="仿宋_GB2312" w:cs="仿宋_GB2312" w:eastAsia="仿宋_GB2312"/>
                      <w:sz w:val="21"/>
                      <w:color w:val="000000"/>
                    </w:rPr>
                    <w:t>增加大屏可视化一览表，快速查询任意一台设备具体实时信息。</w:t>
                  </w:r>
                </w:p>
                <w:p>
                  <w:pPr>
                    <w:pStyle w:val="null3"/>
                    <w:jc w:val="left"/>
                  </w:pPr>
                  <w:r>
                    <w:rPr>
                      <w:rFonts w:ascii="仿宋_GB2312" w:hAnsi="仿宋_GB2312" w:cs="仿宋_GB2312" w:eastAsia="仿宋_GB2312"/>
                      <w:sz w:val="21"/>
                      <w:color w:val="000000"/>
                    </w:rPr>
                    <w:t>【设备添加】：</w:t>
                  </w:r>
                </w:p>
                <w:p>
                  <w:pPr>
                    <w:pStyle w:val="null3"/>
                    <w:jc w:val="left"/>
                  </w:pPr>
                  <w:r>
                    <w:rPr>
                      <w:rFonts w:ascii="仿宋_GB2312" w:hAnsi="仿宋_GB2312" w:cs="仿宋_GB2312" w:eastAsia="仿宋_GB2312"/>
                      <w:sz w:val="21"/>
                      <w:color w:val="000000"/>
                    </w:rPr>
                    <w:t>①、支持RJ45网口、4G/GPRS、WiFi、Nb-iot等多种不同种类通信接口设备同时接入。</w:t>
                  </w:r>
                </w:p>
                <w:p>
                  <w:pPr>
                    <w:pStyle w:val="null3"/>
                    <w:jc w:val="left"/>
                  </w:pPr>
                  <w:r>
                    <w:rPr>
                      <w:rFonts w:ascii="仿宋_GB2312" w:hAnsi="仿宋_GB2312" w:cs="仿宋_GB2312" w:eastAsia="仿宋_GB2312"/>
                      <w:sz w:val="21"/>
                      <w:color w:val="000000"/>
                    </w:rPr>
                    <w:t>②、内置多种数据添加模板，可快速添加，并复制应用于其他设备。</w:t>
                  </w:r>
                </w:p>
                <w:p>
                  <w:pPr>
                    <w:pStyle w:val="null3"/>
                    <w:jc w:val="left"/>
                  </w:pPr>
                  <w:r>
                    <w:rPr>
                      <w:rFonts w:ascii="仿宋_GB2312" w:hAnsi="仿宋_GB2312" w:cs="仿宋_GB2312" w:eastAsia="仿宋_GB2312"/>
                      <w:sz w:val="21"/>
                      <w:color w:val="000000"/>
                    </w:rPr>
                    <w:t>【数据类型】：支持</w:t>
                  </w:r>
                  <w:r>
                    <w:rPr>
                      <w:rFonts w:ascii="仿宋_GB2312" w:hAnsi="仿宋_GB2312" w:cs="仿宋_GB2312" w:eastAsia="仿宋_GB2312"/>
                      <w:sz w:val="21"/>
                      <w:color w:val="000000"/>
                    </w:rPr>
                    <w:t>16位、32位有符号、32位无符号、浮点型、遥调数据等多种数据类型展示。</w:t>
                  </w:r>
                </w:p>
                <w:p>
                  <w:pPr>
                    <w:pStyle w:val="null3"/>
                    <w:jc w:val="left"/>
                  </w:pPr>
                  <w:r>
                    <w:rPr>
                      <w:rFonts w:ascii="仿宋_GB2312" w:hAnsi="仿宋_GB2312" w:cs="仿宋_GB2312" w:eastAsia="仿宋_GB2312"/>
                      <w:sz w:val="21"/>
                      <w:color w:val="000000"/>
                    </w:rPr>
                    <w:t>【数据导出】：</w:t>
                  </w:r>
                </w:p>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PDF、excel等多种数据格式导出，导出内容标题、使用单位名称用户可自定义，同时可导出数据查询的时间段、查询数据账号、保存数据间隔、离线判断间隔等重要信息。</w:t>
                  </w:r>
                </w:p>
                <w:p>
                  <w:pPr>
                    <w:pStyle w:val="null3"/>
                    <w:jc w:val="left"/>
                  </w:pPr>
                  <w:r>
                    <w:rPr>
                      <w:rFonts w:ascii="仿宋_GB2312" w:hAnsi="仿宋_GB2312" w:cs="仿宋_GB2312" w:eastAsia="仿宋_GB2312"/>
                      <w:sz w:val="21"/>
                      <w:color w:val="000000"/>
                    </w:rPr>
                    <w:t>【数据排序】：</w:t>
                  </w:r>
                </w:p>
                <w:p>
                  <w:pPr>
                    <w:pStyle w:val="null3"/>
                    <w:jc w:val="left"/>
                  </w:pPr>
                  <w:r>
                    <w:rPr>
                      <w:rFonts w:ascii="仿宋_GB2312" w:hAnsi="仿宋_GB2312" w:cs="仿宋_GB2312" w:eastAsia="仿宋_GB2312"/>
                      <w:sz w:val="21"/>
                      <w:color w:val="000000"/>
                    </w:rPr>
                    <w:t>①、支持多行数据展示，多个因子按照节点顺序、因子顺序、时间顺序进行排序查询；</w:t>
                  </w:r>
                </w:p>
                <w:p>
                  <w:pPr>
                    <w:pStyle w:val="null3"/>
                    <w:jc w:val="left"/>
                  </w:pPr>
                  <w:r>
                    <w:rPr>
                      <w:rFonts w:ascii="仿宋_GB2312" w:hAnsi="仿宋_GB2312" w:cs="仿宋_GB2312" w:eastAsia="仿宋_GB2312"/>
                      <w:sz w:val="21"/>
                      <w:color w:val="000000"/>
                    </w:rPr>
                    <w:t>②、支持多列数据展示，多个因子按照时间顺序横向排列；</w:t>
                  </w:r>
                </w:p>
                <w:p>
                  <w:pPr>
                    <w:pStyle w:val="null3"/>
                    <w:jc w:val="left"/>
                  </w:pPr>
                  <w:r>
                    <w:rPr>
                      <w:rFonts w:ascii="仿宋_GB2312" w:hAnsi="仿宋_GB2312" w:cs="仿宋_GB2312" w:eastAsia="仿宋_GB2312"/>
                      <w:sz w:val="21"/>
                      <w:color w:val="000000"/>
                    </w:rPr>
                    <w:t>③、两种不同方式可自由选择，适应不同客户要求。</w:t>
                  </w:r>
                </w:p>
                <w:p>
                  <w:pPr>
                    <w:pStyle w:val="null3"/>
                    <w:jc w:val="left"/>
                  </w:pPr>
                  <w:r>
                    <w:rPr>
                      <w:rFonts w:ascii="仿宋_GB2312" w:hAnsi="仿宋_GB2312" w:cs="仿宋_GB2312" w:eastAsia="仿宋_GB2312"/>
                      <w:sz w:val="21"/>
                      <w:color w:val="000000"/>
                    </w:rPr>
                    <w:t>【报警方式】：</w:t>
                  </w:r>
                </w:p>
                <w:p>
                  <w:pPr>
                    <w:pStyle w:val="null3"/>
                    <w:jc w:val="left"/>
                  </w:pPr>
                  <w:r>
                    <w:rPr>
                      <w:rFonts w:ascii="仿宋_GB2312" w:hAnsi="仿宋_GB2312" w:cs="仿宋_GB2312" w:eastAsia="仿宋_GB2312"/>
                      <w:sz w:val="21"/>
                      <w:color w:val="000000"/>
                    </w:rPr>
                    <w:t>①、平台支持短信、振铃、微信、邮件、报警弹窗、音频报警、离线告警等多种报警方式，报警内容可自定义。</w:t>
                  </w:r>
                </w:p>
                <w:p>
                  <w:pPr>
                    <w:pStyle w:val="null3"/>
                    <w:jc w:val="left"/>
                  </w:pPr>
                  <w:r>
                    <w:rPr>
                      <w:rFonts w:ascii="仿宋_GB2312" w:hAnsi="仿宋_GB2312" w:cs="仿宋_GB2312" w:eastAsia="仿宋_GB2312"/>
                      <w:sz w:val="21"/>
                      <w:color w:val="000000"/>
                    </w:rPr>
                    <w:t>②、支持所有监测因子报警上限、下限，预警上限、下限设置，支持因子数据异常字体变色，因子告警数据颜色用户可自定义。</w:t>
                  </w:r>
                </w:p>
                <w:p>
                  <w:pPr>
                    <w:pStyle w:val="null3"/>
                    <w:jc w:val="left"/>
                  </w:pPr>
                  <w:r>
                    <w:rPr>
                      <w:rFonts w:ascii="仿宋_GB2312" w:hAnsi="仿宋_GB2312" w:cs="仿宋_GB2312" w:eastAsia="仿宋_GB2312"/>
                      <w:sz w:val="21"/>
                      <w:color w:val="000000"/>
                    </w:rPr>
                    <w:t>③、数据异常可根据报警持续时间，向不同管理人员越级发送告警信息。</w:t>
                  </w:r>
                </w:p>
                <w:p>
                  <w:pPr>
                    <w:pStyle w:val="null3"/>
                    <w:jc w:val="left"/>
                  </w:pPr>
                  <w:r>
                    <w:rPr>
                      <w:rFonts w:ascii="仿宋_GB2312" w:hAnsi="仿宋_GB2312" w:cs="仿宋_GB2312" w:eastAsia="仿宋_GB2312"/>
                      <w:sz w:val="21"/>
                      <w:color w:val="000000"/>
                    </w:rPr>
                    <w:t>④、针对短信、振铃、微信、邮件告警方式有专门的告警联系人管理列表，便于当报警联系人变动时快速查询、添加、删除。</w:t>
                  </w:r>
                </w:p>
                <w:p>
                  <w:pPr>
                    <w:pStyle w:val="null3"/>
                    <w:jc w:val="left"/>
                  </w:pPr>
                  <w:r>
                    <w:rPr>
                      <w:rFonts w:ascii="仿宋_GB2312" w:hAnsi="仿宋_GB2312" w:cs="仿宋_GB2312" w:eastAsia="仿宋_GB2312"/>
                      <w:sz w:val="21"/>
                      <w:color w:val="000000"/>
                    </w:rPr>
                    <w:t>【视频监控】：</w:t>
                  </w:r>
                </w:p>
                <w:p>
                  <w:pPr>
                    <w:pStyle w:val="null3"/>
                    <w:jc w:val="left"/>
                  </w:pPr>
                  <w:r>
                    <w:rPr>
                      <w:rFonts w:ascii="仿宋_GB2312" w:hAnsi="仿宋_GB2312" w:cs="仿宋_GB2312" w:eastAsia="仿宋_GB2312"/>
                      <w:sz w:val="21"/>
                      <w:color w:val="000000"/>
                    </w:rPr>
                    <w:t>通过在指定区域设置视频监测设备，通过平台实现对现场实时状况，包括视频的实时查看和回放功能，云台控制的功能。</w:t>
                  </w:r>
                </w:p>
                <w:p>
                  <w:pPr>
                    <w:pStyle w:val="null3"/>
                    <w:jc w:val="left"/>
                  </w:pPr>
                  <w:r>
                    <w:rPr>
                      <w:rFonts w:ascii="仿宋_GB2312" w:hAnsi="仿宋_GB2312" w:cs="仿宋_GB2312" w:eastAsia="仿宋_GB2312"/>
                      <w:sz w:val="21"/>
                      <w:color w:val="000000"/>
                    </w:rPr>
                    <w:t>【远程控制】：</w:t>
                  </w:r>
                </w:p>
                <w:p>
                  <w:pPr>
                    <w:pStyle w:val="null3"/>
                    <w:jc w:val="left"/>
                  </w:pPr>
                  <w:r>
                    <w:rPr>
                      <w:rFonts w:ascii="仿宋_GB2312" w:hAnsi="仿宋_GB2312" w:cs="仿宋_GB2312" w:eastAsia="仿宋_GB2312"/>
                      <w:sz w:val="21"/>
                      <w:color w:val="000000"/>
                    </w:rPr>
                    <w:t>支持电脑端、</w:t>
                  </w:r>
                  <w:r>
                    <w:rPr>
                      <w:rFonts w:ascii="仿宋_GB2312" w:hAnsi="仿宋_GB2312" w:cs="仿宋_GB2312" w:eastAsia="仿宋_GB2312"/>
                      <w:sz w:val="21"/>
                      <w:color w:val="000000"/>
                    </w:rPr>
                    <w:t>APP端远程手动控制现场设备继电器，且继电器名称可自定义编辑，相应继电器控制功能是否启用客户可自行编辑。</w:t>
                  </w:r>
                </w:p>
                <w:p>
                  <w:pPr>
                    <w:pStyle w:val="null3"/>
                    <w:jc w:val="left"/>
                  </w:pPr>
                  <w:r>
                    <w:rPr>
                      <w:rFonts w:ascii="仿宋_GB2312" w:hAnsi="仿宋_GB2312" w:cs="仿宋_GB2312" w:eastAsia="仿宋_GB2312"/>
                      <w:sz w:val="21"/>
                      <w:color w:val="000000"/>
                    </w:rPr>
                    <w:t>【权限管理】：</w:t>
                  </w:r>
                </w:p>
                <w:p>
                  <w:pPr>
                    <w:pStyle w:val="null3"/>
                    <w:jc w:val="left"/>
                  </w:pPr>
                  <w:r>
                    <w:rPr>
                      <w:rFonts w:ascii="仿宋_GB2312" w:hAnsi="仿宋_GB2312" w:cs="仿宋_GB2312" w:eastAsia="仿宋_GB2312"/>
                      <w:sz w:val="21"/>
                      <w:color w:val="000000"/>
                    </w:rPr>
                    <w:t>针对项目实际需求增设子账号，并分配不同管理权限，做到项目管理分工明确，用户可定义不同的用户角色，并赋予角色的不同权限管理。</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1</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项</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总账号一栏全局，子账号管理下辖数据情况，支持预值设置，超出预值后预警推送</w:t>
                  </w:r>
                </w:p>
              </w:tc>
            </w:tr>
            <w:tr>
              <w:tc>
                <w:tcPr>
                  <w:tcW w:type="dxa" w:w="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气象监测服务</w:t>
                  </w: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大气温湿度测量</w:t>
                  </w:r>
                </w:p>
                <w:p>
                  <w:pPr>
                    <w:pStyle w:val="null3"/>
                    <w:jc w:val="left"/>
                  </w:pPr>
                  <w:r>
                    <w:rPr>
                      <w:rFonts w:ascii="仿宋_GB2312" w:hAnsi="仿宋_GB2312" w:cs="仿宋_GB2312" w:eastAsia="仿宋_GB2312"/>
                      <w:sz w:val="21"/>
                      <w:color w:val="000000"/>
                    </w:rPr>
                    <w:t>温度：</w:t>
                  </w:r>
                  <w:r>
                    <w:rPr>
                      <w:rFonts w:ascii="仿宋_GB2312" w:hAnsi="仿宋_GB2312" w:cs="仿宋_GB2312" w:eastAsia="仿宋_GB2312"/>
                      <w:sz w:val="21"/>
                      <w:color w:val="000000"/>
                    </w:rPr>
                    <w:t>-40℃~+120℃ 默认：-40℃~+80℃。湿度：0%RH~99%RH。</w:t>
                  </w:r>
                </w:p>
                <w:p>
                  <w:pPr>
                    <w:pStyle w:val="null3"/>
                    <w:jc w:val="left"/>
                  </w:pPr>
                  <w:r>
                    <w:rPr>
                      <w:rFonts w:ascii="仿宋_GB2312" w:hAnsi="仿宋_GB2312" w:cs="仿宋_GB2312" w:eastAsia="仿宋_GB2312"/>
                      <w:sz w:val="21"/>
                      <w:color w:val="000000"/>
                    </w:rPr>
                    <w:t>【典型精度】：温度：</w:t>
                  </w:r>
                  <w:r>
                    <w:rPr>
                      <w:rFonts w:ascii="仿宋_GB2312" w:hAnsi="仿宋_GB2312" w:cs="仿宋_GB2312" w:eastAsia="仿宋_GB2312"/>
                      <w:sz w:val="21"/>
                      <w:color w:val="000000"/>
                    </w:rPr>
                    <w:t>±0.5℃（25℃）。湿度：±3%RH(60%RH，25℃)。</w:t>
                  </w:r>
                </w:p>
                <w:p>
                  <w:pPr>
                    <w:pStyle w:val="null3"/>
                    <w:jc w:val="left"/>
                  </w:pPr>
                  <w:r>
                    <w:rPr>
                      <w:rFonts w:ascii="仿宋_GB2312" w:hAnsi="仿宋_GB2312" w:cs="仿宋_GB2312" w:eastAsia="仿宋_GB2312"/>
                      <w:sz w:val="21"/>
                      <w:color w:val="000000"/>
                    </w:rPr>
                    <w:t>【分辨率】：温度：</w:t>
                  </w:r>
                  <w:r>
                    <w:rPr>
                      <w:rFonts w:ascii="仿宋_GB2312" w:hAnsi="仿宋_GB2312" w:cs="仿宋_GB2312" w:eastAsia="仿宋_GB2312"/>
                      <w:sz w:val="21"/>
                      <w:color w:val="000000"/>
                    </w:rPr>
                    <w:t>0.1℃。湿度：0.1%RH。</w:t>
                  </w:r>
                </w:p>
                <w:p>
                  <w:pPr>
                    <w:pStyle w:val="null3"/>
                    <w:jc w:val="left"/>
                  </w:pPr>
                  <w:r>
                    <w:rPr>
                      <w:rFonts w:ascii="仿宋_GB2312" w:hAnsi="仿宋_GB2312" w:cs="仿宋_GB2312" w:eastAsia="仿宋_GB2312"/>
                      <w:sz w:val="21"/>
                      <w:color w:val="000000"/>
                    </w:rPr>
                    <w:t>光照度测量</w:t>
                  </w:r>
                </w:p>
                <w:p>
                  <w:pPr>
                    <w:pStyle w:val="null3"/>
                    <w:jc w:val="left"/>
                  </w:pPr>
                  <w:r>
                    <w:rPr>
                      <w:rFonts w:ascii="仿宋_GB2312" w:hAnsi="仿宋_GB2312" w:cs="仿宋_GB2312" w:eastAsia="仿宋_GB2312"/>
                      <w:sz w:val="21"/>
                      <w:color w:val="000000"/>
                    </w:rPr>
                    <w:t>【测量原理】：光照度采用一款高精度感光变送器，输出数值计量单位为</w:t>
                  </w:r>
                  <w:r>
                    <w:rPr>
                      <w:rFonts w:ascii="仿宋_GB2312" w:hAnsi="仿宋_GB2312" w:cs="仿宋_GB2312" w:eastAsia="仿宋_GB2312"/>
                      <w:sz w:val="21"/>
                      <w:color w:val="000000"/>
                    </w:rPr>
                    <w:t>Lux</w:t>
                  </w:r>
                </w:p>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0~20万Lux</w:t>
                  </w:r>
                </w:p>
                <w:p>
                  <w:pPr>
                    <w:pStyle w:val="null3"/>
                    <w:jc w:val="left"/>
                  </w:pPr>
                  <w:r>
                    <w:rPr>
                      <w:rFonts w:ascii="仿宋_GB2312" w:hAnsi="仿宋_GB2312" w:cs="仿宋_GB2312" w:eastAsia="仿宋_GB2312"/>
                      <w:sz w:val="21"/>
                      <w:color w:val="000000"/>
                    </w:rPr>
                    <w:t>【典型精度】：</w:t>
                  </w:r>
                  <w:r>
                    <w:rPr>
                      <w:rFonts w:ascii="仿宋_GB2312" w:hAnsi="仿宋_GB2312" w:cs="仿宋_GB2312" w:eastAsia="仿宋_GB2312"/>
                      <w:sz w:val="21"/>
                      <w:color w:val="000000"/>
                    </w:rPr>
                    <w:t>±7%(25℃)</w:t>
                  </w:r>
                </w:p>
                <w:p>
                  <w:pPr>
                    <w:pStyle w:val="null3"/>
                    <w:jc w:val="left"/>
                  </w:pPr>
                  <w:r>
                    <w:rPr>
                      <w:rFonts w:ascii="仿宋_GB2312" w:hAnsi="仿宋_GB2312" w:cs="仿宋_GB2312" w:eastAsia="仿宋_GB2312"/>
                      <w:sz w:val="21"/>
                      <w:color w:val="000000"/>
                    </w:rPr>
                    <w:t>大气压力测量</w:t>
                  </w:r>
                </w:p>
                <w:p>
                  <w:pPr>
                    <w:pStyle w:val="null3"/>
                    <w:jc w:val="left"/>
                  </w:pPr>
                  <w:r>
                    <w:rPr>
                      <w:rFonts w:ascii="仿宋_GB2312" w:hAnsi="仿宋_GB2312" w:cs="仿宋_GB2312" w:eastAsia="仿宋_GB2312"/>
                      <w:sz w:val="21"/>
                      <w:color w:val="000000"/>
                    </w:rPr>
                    <w:t>【测量原理】：大气压力变送器由测量元件和微处理器组成，测量元件的作用是使被测压力作用于某个面积上并转换为位移或应变，然后由位移敏感元件或应变计转换为与压力成一定关系的电信号。</w:t>
                  </w:r>
                </w:p>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0-120kPa</w:t>
                  </w:r>
                </w:p>
                <w:p>
                  <w:pPr>
                    <w:pStyle w:val="null3"/>
                    <w:jc w:val="left"/>
                  </w:pPr>
                  <w:r>
                    <w:rPr>
                      <w:rFonts w:ascii="仿宋_GB2312" w:hAnsi="仿宋_GB2312" w:cs="仿宋_GB2312" w:eastAsia="仿宋_GB2312"/>
                      <w:sz w:val="21"/>
                      <w:color w:val="000000"/>
                    </w:rPr>
                    <w:t>【典型精度】：</w:t>
                  </w:r>
                  <w:r>
                    <w:rPr>
                      <w:rFonts w:ascii="仿宋_GB2312" w:hAnsi="仿宋_GB2312" w:cs="仿宋_GB2312" w:eastAsia="仿宋_GB2312"/>
                      <w:sz w:val="21"/>
                      <w:color w:val="000000"/>
                    </w:rPr>
                    <w:t>±0.15kPa@25℃ 101kPa</w:t>
                  </w:r>
                </w:p>
                <w:p>
                  <w:pPr>
                    <w:pStyle w:val="null3"/>
                    <w:jc w:val="left"/>
                  </w:pPr>
                  <w:r>
                    <w:rPr>
                      <w:rFonts w:ascii="仿宋_GB2312" w:hAnsi="仿宋_GB2312" w:cs="仿宋_GB2312" w:eastAsia="仿宋_GB2312"/>
                      <w:sz w:val="21"/>
                      <w:color w:val="000000"/>
                    </w:rPr>
                    <w:t>风速测量</w:t>
                  </w:r>
                </w:p>
                <w:p>
                  <w:pPr>
                    <w:pStyle w:val="null3"/>
                    <w:jc w:val="left"/>
                  </w:pPr>
                  <w:r>
                    <w:rPr>
                      <w:rFonts w:ascii="仿宋_GB2312" w:hAnsi="仿宋_GB2312" w:cs="仿宋_GB2312" w:eastAsia="仿宋_GB2312"/>
                      <w:sz w:val="21"/>
                      <w:color w:val="000000"/>
                    </w:rPr>
                    <w:t>三杯设计理念可以有效获得风速信息，设备结构及重量经过精心设计及分配，转动惯量小，响应灵敏。</w:t>
                  </w:r>
                </w:p>
                <w:p>
                  <w:pPr>
                    <w:pStyle w:val="null3"/>
                    <w:jc w:val="left"/>
                  </w:pPr>
                  <w:r>
                    <w:rPr>
                      <w:rFonts w:ascii="仿宋_GB2312" w:hAnsi="仿宋_GB2312" w:cs="仿宋_GB2312" w:eastAsia="仿宋_GB2312"/>
                      <w:sz w:val="21"/>
                      <w:color w:val="000000"/>
                    </w:rPr>
                    <w:t>【检测原理】：采用光电式原理测量风速。</w:t>
                  </w:r>
                </w:p>
                <w:p>
                  <w:pPr>
                    <w:pStyle w:val="null3"/>
                    <w:jc w:val="left"/>
                  </w:pPr>
                  <w:r>
                    <w:rPr>
                      <w:rFonts w:ascii="仿宋_GB2312" w:hAnsi="仿宋_GB2312" w:cs="仿宋_GB2312" w:eastAsia="仿宋_GB2312"/>
                      <w:sz w:val="21"/>
                      <w:color w:val="000000"/>
                    </w:rPr>
                    <w:t>【典型精度】：</w:t>
                  </w:r>
                  <w:r>
                    <w:rPr>
                      <w:rFonts w:ascii="仿宋_GB2312" w:hAnsi="仿宋_GB2312" w:cs="仿宋_GB2312" w:eastAsia="仿宋_GB2312"/>
                      <w:sz w:val="21"/>
                      <w:color w:val="000000"/>
                    </w:rPr>
                    <w:t>±（0.2+0.03V）m/s，@（0~30m/s，25℃）V表示风速</w:t>
                  </w:r>
                </w:p>
                <w:p>
                  <w:pPr>
                    <w:pStyle w:val="null3"/>
                    <w:jc w:val="left"/>
                  </w:pPr>
                  <w:r>
                    <w:rPr>
                      <w:rFonts w:ascii="仿宋_GB2312" w:hAnsi="仿宋_GB2312" w:cs="仿宋_GB2312" w:eastAsia="仿宋_GB2312"/>
                      <w:sz w:val="21"/>
                      <w:color w:val="000000"/>
                    </w:rPr>
                    <w:t>风向测量：</w:t>
                  </w:r>
                </w:p>
                <w:p>
                  <w:pPr>
                    <w:pStyle w:val="null3"/>
                    <w:jc w:val="left"/>
                  </w:pPr>
                  <w:r>
                    <w:rPr>
                      <w:rFonts w:ascii="仿宋_GB2312" w:hAnsi="仿宋_GB2312" w:cs="仿宋_GB2312" w:eastAsia="仿宋_GB2312"/>
                      <w:sz w:val="21"/>
                      <w:color w:val="000000"/>
                    </w:rPr>
                    <w:t>8方位风向变送器采用光电式原理测量风向。</w:t>
                  </w:r>
                </w:p>
                <w:p>
                  <w:pPr>
                    <w:pStyle w:val="null3"/>
                    <w:jc w:val="left"/>
                  </w:pPr>
                  <w:r>
                    <w:rPr>
                      <w:rFonts w:ascii="仿宋_GB2312" w:hAnsi="仿宋_GB2312" w:cs="仿宋_GB2312" w:eastAsia="仿宋_GB2312"/>
                      <w:sz w:val="21"/>
                      <w:color w:val="000000"/>
                    </w:rPr>
                    <w:t>雨量测量：</w:t>
                  </w:r>
                </w:p>
                <w:p>
                  <w:pPr>
                    <w:pStyle w:val="null3"/>
                    <w:jc w:val="left"/>
                  </w:pPr>
                  <w:r>
                    <w:rPr>
                      <w:rFonts w:ascii="仿宋_GB2312" w:hAnsi="仿宋_GB2312" w:cs="仿宋_GB2312" w:eastAsia="仿宋_GB2312"/>
                      <w:sz w:val="21"/>
                      <w:color w:val="000000"/>
                    </w:rPr>
                    <w:t>雨水由承雨口进入，经漏斗流入翻斗，当翻斗承积一定水量后，由于重力作用使之发生翻转。</w:t>
                  </w:r>
                </w:p>
                <w:p>
                  <w:pPr>
                    <w:pStyle w:val="null3"/>
                    <w:jc w:val="left"/>
                  </w:pPr>
                  <w:r>
                    <w:rPr>
                      <w:rFonts w:ascii="仿宋_GB2312" w:hAnsi="仿宋_GB2312" w:cs="仿宋_GB2312" w:eastAsia="仿宋_GB2312"/>
                      <w:sz w:val="21"/>
                      <w:color w:val="000000"/>
                    </w:rPr>
                    <w:t>在翻斗侧壁上装有磁铁，它随翻斗翻动时从干簧管旁扫过，使干簧管吸合，即翻斗每翻倒一次，干簧管便接通一次送出一个开关信号（脉冲信号）。用户通过累计脉冲信号次数便可计算具体雨量数据。</w:t>
                  </w:r>
                </w:p>
                <w:p>
                  <w:pPr>
                    <w:pStyle w:val="null3"/>
                    <w:jc w:val="left"/>
                  </w:pPr>
                  <w:r>
                    <w:rPr>
                      <w:rFonts w:ascii="仿宋_GB2312" w:hAnsi="仿宋_GB2312" w:cs="仿宋_GB2312" w:eastAsia="仿宋_GB2312"/>
                      <w:sz w:val="21"/>
                      <w:color w:val="000000"/>
                    </w:rPr>
                    <w:t>【硬件配置】：不锈钢承雨口（冲压）</w:t>
                  </w:r>
                  <w:r>
                    <w:rPr>
                      <w:rFonts w:ascii="仿宋_GB2312" w:hAnsi="仿宋_GB2312" w:cs="仿宋_GB2312" w:eastAsia="仿宋_GB2312"/>
                      <w:sz w:val="21"/>
                      <w:color w:val="000000"/>
                    </w:rPr>
                    <w:t>+ABS底座+不锈钢支撑+ABS计量翻斗+ABS承雨漏斗+高度330mm不锈钢雨量桶，总高度360mm；</w:t>
                  </w:r>
                </w:p>
                <w:p>
                  <w:pPr>
                    <w:pStyle w:val="null3"/>
                    <w:jc w:val="left"/>
                  </w:pPr>
                  <w:r>
                    <w:rPr>
                      <w:rFonts w:ascii="仿宋_GB2312" w:hAnsi="仿宋_GB2312" w:cs="仿宋_GB2312" w:eastAsia="仿宋_GB2312"/>
                      <w:sz w:val="21"/>
                      <w:color w:val="000000"/>
                    </w:rPr>
                    <w:t>【符合国标】：</w:t>
                  </w:r>
                  <w:r>
                    <w:rPr>
                      <w:rFonts w:ascii="仿宋_GB2312" w:hAnsi="仿宋_GB2312" w:cs="仿宋_GB2312" w:eastAsia="仿宋_GB2312"/>
                      <w:sz w:val="21"/>
                      <w:color w:val="000000"/>
                    </w:rPr>
                    <w:t>GB/T 21978.2－2014《降水量观测要求》要求。</w:t>
                  </w:r>
                </w:p>
                <w:p>
                  <w:pPr>
                    <w:pStyle w:val="null3"/>
                    <w:jc w:val="left"/>
                  </w:pPr>
                  <w:r>
                    <w:rPr>
                      <w:rFonts w:ascii="仿宋_GB2312" w:hAnsi="仿宋_GB2312" w:cs="仿宋_GB2312" w:eastAsia="仿宋_GB2312"/>
                      <w:sz w:val="21"/>
                      <w:color w:val="000000"/>
                    </w:rPr>
                    <w:t>【雨强范围】：</w:t>
                  </w:r>
                  <w:r>
                    <w:rPr>
                      <w:rFonts w:ascii="仿宋_GB2312" w:hAnsi="仿宋_GB2312" w:cs="仿宋_GB2312" w:eastAsia="仿宋_GB2312"/>
                      <w:sz w:val="21"/>
                      <w:color w:val="000000"/>
                    </w:rPr>
                    <w:t>0mm～4mm/min</w:t>
                  </w:r>
                </w:p>
                <w:p>
                  <w:pPr>
                    <w:pStyle w:val="null3"/>
                    <w:jc w:val="left"/>
                  </w:pPr>
                  <w:r>
                    <w:rPr>
                      <w:rFonts w:ascii="仿宋_GB2312" w:hAnsi="仿宋_GB2312" w:cs="仿宋_GB2312" w:eastAsia="仿宋_GB2312"/>
                      <w:sz w:val="21"/>
                      <w:color w:val="000000"/>
                    </w:rPr>
                    <w:t>【允许通过最大雨强】：</w:t>
                  </w:r>
                  <w:r>
                    <w:rPr>
                      <w:rFonts w:ascii="仿宋_GB2312" w:hAnsi="仿宋_GB2312" w:cs="仿宋_GB2312" w:eastAsia="仿宋_GB2312"/>
                      <w:sz w:val="21"/>
                      <w:color w:val="000000"/>
                    </w:rPr>
                    <w:t>8mm/min</w:t>
                  </w:r>
                </w:p>
                <w:p>
                  <w:pPr>
                    <w:pStyle w:val="null3"/>
                    <w:jc w:val="left"/>
                  </w:pPr>
                  <w:r>
                    <w:rPr>
                      <w:rFonts w:ascii="仿宋_GB2312" w:hAnsi="仿宋_GB2312" w:cs="仿宋_GB2312" w:eastAsia="仿宋_GB2312"/>
                      <w:sz w:val="21"/>
                      <w:color w:val="000000"/>
                    </w:rPr>
                    <w:t>标准款智能气象主板</w:t>
                  </w:r>
                </w:p>
                <w:p>
                  <w:pPr>
                    <w:pStyle w:val="null3"/>
                    <w:jc w:val="left"/>
                  </w:pPr>
                  <w:r>
                    <w:rPr>
                      <w:rFonts w:ascii="仿宋_GB2312" w:hAnsi="仿宋_GB2312" w:cs="仿宋_GB2312" w:eastAsia="仿宋_GB2312"/>
                      <w:sz w:val="21"/>
                      <w:color w:val="000000"/>
                    </w:rPr>
                    <w:t>【安装位置】：安装于显示屏内；</w:t>
                  </w:r>
                </w:p>
                <w:p>
                  <w:pPr>
                    <w:pStyle w:val="null3"/>
                    <w:jc w:val="left"/>
                  </w:pPr>
                  <w:r>
                    <w:rPr>
                      <w:rFonts w:ascii="仿宋_GB2312" w:hAnsi="仿宋_GB2312" w:cs="仿宋_GB2312" w:eastAsia="仿宋_GB2312"/>
                      <w:sz w:val="21"/>
                      <w:color w:val="000000"/>
                    </w:rPr>
                    <w:t>【配置方式】：支持蓝牙配置，提供蓝牙配置专用</w:t>
                  </w:r>
                  <w:r>
                    <w:rPr>
                      <w:rFonts w:ascii="仿宋_GB2312" w:hAnsi="仿宋_GB2312" w:cs="仿宋_GB2312" w:eastAsia="仿宋_GB2312"/>
                      <w:sz w:val="21"/>
                      <w:color w:val="000000"/>
                    </w:rPr>
                    <w:t>APP。</w:t>
                  </w:r>
                </w:p>
                <w:p>
                  <w:pPr>
                    <w:pStyle w:val="null3"/>
                    <w:jc w:val="left"/>
                  </w:pPr>
                  <w:r>
                    <w:rPr>
                      <w:rFonts w:ascii="仿宋_GB2312" w:hAnsi="仿宋_GB2312" w:cs="仿宋_GB2312" w:eastAsia="仿宋_GB2312"/>
                      <w:sz w:val="21"/>
                      <w:color w:val="000000"/>
                    </w:rPr>
                    <w:t>安装支架</w:t>
                  </w:r>
                  <w:r>
                    <w:rPr>
                      <w:rFonts w:ascii="仿宋_GB2312" w:hAnsi="仿宋_GB2312" w:cs="仿宋_GB2312" w:eastAsia="仿宋_GB2312"/>
                      <w:sz w:val="21"/>
                      <w:color w:val="000000"/>
                    </w:rPr>
                    <w:t xml:space="preserve"> RS-ZJ-M1（φ76mm、高2.87m）；</w:t>
                  </w:r>
                </w:p>
                <w:p>
                  <w:pPr>
                    <w:pStyle w:val="null3"/>
                    <w:jc w:val="left"/>
                  </w:pPr>
                  <w:r>
                    <w:rPr>
                      <w:rFonts w:ascii="仿宋_GB2312" w:hAnsi="仿宋_GB2312" w:cs="仿宋_GB2312" w:eastAsia="仿宋_GB2312"/>
                      <w:sz w:val="21"/>
                      <w:color w:val="000000"/>
                    </w:rPr>
                    <w:t>屏幕</w:t>
                  </w:r>
                </w:p>
                <w:p>
                  <w:pPr>
                    <w:pStyle w:val="null3"/>
                    <w:jc w:val="left"/>
                  </w:pPr>
                  <w:r>
                    <w:rPr>
                      <w:rFonts w:ascii="仿宋_GB2312" w:hAnsi="仿宋_GB2312" w:cs="仿宋_GB2312" w:eastAsia="仿宋_GB2312"/>
                      <w:sz w:val="21"/>
                      <w:color w:val="000000"/>
                    </w:rPr>
                    <w:t>【屏幕尺寸】：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102cm*54cm。</w:t>
                  </w:r>
                </w:p>
                <w:p>
                  <w:pPr>
                    <w:pStyle w:val="null3"/>
                    <w:jc w:val="left"/>
                  </w:pPr>
                  <w:r>
                    <w:rPr>
                      <w:rFonts w:ascii="仿宋_GB2312" w:hAnsi="仿宋_GB2312" w:cs="仿宋_GB2312" w:eastAsia="仿宋_GB2312"/>
                      <w:sz w:val="21"/>
                      <w:color w:val="000000"/>
                    </w:rPr>
                    <w:t>【供电方式】：</w:t>
                  </w:r>
                  <w:r>
                    <w:rPr>
                      <w:rFonts w:ascii="仿宋_GB2312" w:hAnsi="仿宋_GB2312" w:cs="仿宋_GB2312" w:eastAsia="仿宋_GB2312"/>
                      <w:sz w:val="21"/>
                      <w:color w:val="000000"/>
                    </w:rPr>
                    <w:t>220VAC供电。</w:t>
                  </w:r>
                </w:p>
                <w:p>
                  <w:pPr>
                    <w:pStyle w:val="null3"/>
                    <w:jc w:val="left"/>
                  </w:pPr>
                  <w:r>
                    <w:rPr>
                      <w:rFonts w:ascii="仿宋_GB2312" w:hAnsi="仿宋_GB2312" w:cs="仿宋_GB2312" w:eastAsia="仿宋_GB2312"/>
                      <w:sz w:val="21"/>
                      <w:color w:val="000000"/>
                    </w:rPr>
                    <w:t>【安装方式】：支持抱箍安装，配套不同的安装抱箍，可适配</w:t>
                  </w:r>
                  <w:r>
                    <w:rPr>
                      <w:rFonts w:ascii="仿宋_GB2312" w:hAnsi="仿宋_GB2312" w:cs="仿宋_GB2312" w:eastAsia="仿宋_GB2312"/>
                      <w:sz w:val="21"/>
                      <w:color w:val="000000"/>
                    </w:rPr>
                    <w:t>76mm直径、114mm直径立杆安装。</w:t>
                  </w:r>
                </w:p>
                <w:p>
                  <w:pPr>
                    <w:pStyle w:val="null3"/>
                    <w:jc w:val="left"/>
                  </w:pPr>
                  <w:r>
                    <w:rPr>
                      <w:rFonts w:ascii="仿宋_GB2312" w:hAnsi="仿宋_GB2312" w:cs="仿宋_GB2312" w:eastAsia="仿宋_GB2312"/>
                      <w:sz w:val="21"/>
                      <w:color w:val="000000"/>
                    </w:rPr>
                    <w:t>支持吊耳安装。（含</w:t>
                  </w:r>
                  <w:r>
                    <w:rPr>
                      <w:rFonts w:ascii="仿宋_GB2312" w:hAnsi="仿宋_GB2312" w:cs="仿宋_GB2312" w:eastAsia="仿宋_GB2312"/>
                      <w:sz w:val="21"/>
                      <w:color w:val="000000"/>
                    </w:rPr>
                    <w:t>3年数据传输流量）</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3</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套</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大气温湿度、光照度、大气压力、风速、风向、雨量</w:t>
                  </w:r>
                </w:p>
              </w:tc>
            </w:tr>
            <w:tr>
              <w:tc>
                <w:tcPr>
                  <w:tcW w:type="dxa" w:w="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土壤墒情监测服务</w:t>
                  </w: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土壤温湿度电导率默认</w:t>
                  </w:r>
                  <w:r>
                    <w:rPr>
                      <w:rFonts w:ascii="仿宋_GB2312" w:hAnsi="仿宋_GB2312" w:cs="仿宋_GB2312" w:eastAsia="仿宋_GB2312"/>
                      <w:sz w:val="21"/>
                      <w:color w:val="000000"/>
                    </w:rPr>
                    <w:t>2m线缆长度。</w:t>
                  </w:r>
                </w:p>
                <w:p>
                  <w:pPr>
                    <w:pStyle w:val="null3"/>
                    <w:jc w:val="left"/>
                  </w:pPr>
                  <w:r>
                    <w:rPr>
                      <w:rFonts w:ascii="仿宋_GB2312" w:hAnsi="仿宋_GB2312" w:cs="仿宋_GB2312" w:eastAsia="仿宋_GB2312"/>
                      <w:sz w:val="21"/>
                      <w:color w:val="000000"/>
                    </w:rPr>
                    <w:t>【平均功耗】：</w:t>
                  </w:r>
                  <w:r>
                    <w:rPr>
                      <w:rFonts w:ascii="仿宋_GB2312" w:hAnsi="仿宋_GB2312" w:cs="仿宋_GB2312" w:eastAsia="仿宋_GB2312"/>
                      <w:sz w:val="21"/>
                      <w:color w:val="000000"/>
                    </w:rPr>
                    <w:t>0.7W（24V DC 供电）【探针材料】：防腐特制电极</w:t>
                  </w:r>
                </w:p>
                <w:p>
                  <w:pPr>
                    <w:pStyle w:val="null3"/>
                    <w:jc w:val="left"/>
                  </w:pPr>
                  <w:r>
                    <w:rPr>
                      <w:rFonts w:ascii="仿宋_GB2312" w:hAnsi="仿宋_GB2312" w:cs="仿宋_GB2312" w:eastAsia="仿宋_GB2312"/>
                      <w:sz w:val="21"/>
                      <w:color w:val="000000"/>
                    </w:rPr>
                    <w:t>【密封材料】：黑色阻燃环氧树脂</w:t>
                  </w:r>
                </w:p>
                <w:p>
                  <w:pPr>
                    <w:pStyle w:val="null3"/>
                    <w:jc w:val="left"/>
                  </w:pPr>
                  <w:r>
                    <w:rPr>
                      <w:rFonts w:ascii="仿宋_GB2312" w:hAnsi="仿宋_GB2312" w:cs="仿宋_GB2312" w:eastAsia="仿宋_GB2312"/>
                      <w:sz w:val="21"/>
                      <w:color w:val="000000"/>
                    </w:rPr>
                    <w:t>【测量范围】：</w:t>
                  </w:r>
                </w:p>
                <w:p>
                  <w:pPr>
                    <w:pStyle w:val="null3"/>
                    <w:jc w:val="left"/>
                  </w:pPr>
                  <w:r>
                    <w:rPr>
                      <w:rFonts w:ascii="仿宋_GB2312" w:hAnsi="仿宋_GB2312" w:cs="仿宋_GB2312" w:eastAsia="仿宋_GB2312"/>
                      <w:sz w:val="21"/>
                      <w:color w:val="000000"/>
                    </w:rPr>
                    <w:t>①、土壤水分：0%RH-100%RH</w:t>
                  </w:r>
                </w:p>
                <w:p>
                  <w:pPr>
                    <w:pStyle w:val="null3"/>
                    <w:jc w:val="left"/>
                  </w:pPr>
                  <w:r>
                    <w:rPr>
                      <w:rFonts w:ascii="仿宋_GB2312" w:hAnsi="仿宋_GB2312" w:cs="仿宋_GB2312" w:eastAsia="仿宋_GB2312"/>
                      <w:sz w:val="21"/>
                      <w:color w:val="000000"/>
                    </w:rPr>
                    <w:t>②、土壤温度：-40℃~+80℃</w:t>
                  </w:r>
                </w:p>
                <w:p>
                  <w:pPr>
                    <w:pStyle w:val="null3"/>
                    <w:jc w:val="left"/>
                  </w:pPr>
                  <w:r>
                    <w:rPr>
                      <w:rFonts w:ascii="仿宋_GB2312" w:hAnsi="仿宋_GB2312" w:cs="仿宋_GB2312" w:eastAsia="仿宋_GB2312"/>
                      <w:sz w:val="21"/>
                      <w:color w:val="000000"/>
                    </w:rPr>
                    <w:t>③、土壤电导率：0-20000us/cm。</w:t>
                  </w:r>
                </w:p>
                <w:p>
                  <w:pPr>
                    <w:pStyle w:val="null3"/>
                    <w:jc w:val="left"/>
                  </w:pPr>
                  <w:r>
                    <w:rPr>
                      <w:rFonts w:ascii="仿宋_GB2312" w:hAnsi="仿宋_GB2312" w:cs="仿宋_GB2312" w:eastAsia="仿宋_GB2312"/>
                      <w:sz w:val="21"/>
                      <w:color w:val="000000"/>
                    </w:rPr>
                    <w:t>【默认精度】：</w:t>
                  </w:r>
                </w:p>
                <w:p>
                  <w:pPr>
                    <w:pStyle w:val="null3"/>
                    <w:jc w:val="left"/>
                  </w:pPr>
                  <w:r>
                    <w:rPr>
                      <w:rFonts w:ascii="仿宋_GB2312" w:hAnsi="仿宋_GB2312" w:cs="仿宋_GB2312" w:eastAsia="仿宋_GB2312"/>
                      <w:sz w:val="21"/>
                      <w:color w:val="000000"/>
                    </w:rPr>
                    <w:t>①、土壤水分：0-50%内±2%，50-100%内±3%（棕壤，60%,25℃）；</w:t>
                  </w:r>
                </w:p>
                <w:p>
                  <w:pPr>
                    <w:pStyle w:val="null3"/>
                    <w:jc w:val="left"/>
                  </w:pPr>
                  <w:r>
                    <w:rPr>
                      <w:rFonts w:ascii="仿宋_GB2312" w:hAnsi="仿宋_GB2312" w:cs="仿宋_GB2312" w:eastAsia="仿宋_GB2312"/>
                      <w:sz w:val="21"/>
                      <w:color w:val="000000"/>
                    </w:rPr>
                    <w:t>②、土壤温度：±0.5℃（25℃）；③、土壤电导率：0-10000us/cm 范围内为±3%；10000-20000us/cm 范围内为±5%。（棕壤，60%RH,25℃）</w:t>
                  </w:r>
                </w:p>
                <w:p>
                  <w:pPr>
                    <w:pStyle w:val="null3"/>
                    <w:jc w:val="left"/>
                  </w:pPr>
                  <w:r>
                    <w:rPr>
                      <w:rFonts w:ascii="仿宋_GB2312" w:hAnsi="仿宋_GB2312" w:cs="仿宋_GB2312" w:eastAsia="仿宋_GB2312"/>
                      <w:sz w:val="21"/>
                      <w:color w:val="000000"/>
                    </w:rPr>
                    <w:t>土壤氮磷钾存储器是一款支持通过</w:t>
                  </w:r>
                  <w:r>
                    <w:rPr>
                      <w:rFonts w:ascii="仿宋_GB2312" w:hAnsi="仿宋_GB2312" w:cs="仿宋_GB2312" w:eastAsia="仿宋_GB2312"/>
                      <w:sz w:val="21"/>
                      <w:color w:val="000000"/>
                    </w:rPr>
                    <w:t>485命令写入氮磷钾参数，达到现场用户展示数据的目的，进而方便客户系统的评估土壤情况的设备。</w:t>
                  </w:r>
                </w:p>
                <w:p>
                  <w:pPr>
                    <w:pStyle w:val="null3"/>
                    <w:jc w:val="left"/>
                  </w:pPr>
                  <w:r>
                    <w:rPr>
                      <w:rFonts w:ascii="仿宋_GB2312" w:hAnsi="仿宋_GB2312" w:cs="仿宋_GB2312" w:eastAsia="仿宋_GB2312"/>
                      <w:sz w:val="21"/>
                      <w:color w:val="000000"/>
                    </w:rPr>
                    <w:t>【氮磷钾参数】：</w:t>
                  </w:r>
                </w:p>
                <w:p>
                  <w:pPr>
                    <w:pStyle w:val="null3"/>
                    <w:jc w:val="left"/>
                  </w:pPr>
                  <w:r>
                    <w:rPr>
                      <w:rFonts w:ascii="仿宋_GB2312" w:hAnsi="仿宋_GB2312" w:cs="仿宋_GB2312" w:eastAsia="仿宋_GB2312"/>
                      <w:sz w:val="21"/>
                      <w:color w:val="000000"/>
                    </w:rPr>
                    <w:t>测量量程：</w:t>
                  </w:r>
                  <w:r>
                    <w:rPr>
                      <w:rFonts w:ascii="仿宋_GB2312" w:hAnsi="仿宋_GB2312" w:cs="仿宋_GB2312" w:eastAsia="仿宋_GB2312"/>
                      <w:sz w:val="21"/>
                      <w:color w:val="000000"/>
                    </w:rPr>
                    <w:t>0-2999 mg/kg(mg/L)</w:t>
                  </w:r>
                </w:p>
                <w:p>
                  <w:pPr>
                    <w:pStyle w:val="null3"/>
                    <w:jc w:val="left"/>
                  </w:pPr>
                  <w:r>
                    <w:rPr>
                      <w:rFonts w:ascii="仿宋_GB2312" w:hAnsi="仿宋_GB2312" w:cs="仿宋_GB2312" w:eastAsia="仿宋_GB2312"/>
                      <w:sz w:val="21"/>
                      <w:color w:val="000000"/>
                    </w:rPr>
                    <w:t>典型精度：</w:t>
                  </w:r>
                  <w:r>
                    <w:rPr>
                      <w:rFonts w:ascii="仿宋_GB2312" w:hAnsi="仿宋_GB2312" w:cs="仿宋_GB2312" w:eastAsia="仿宋_GB2312"/>
                      <w:sz w:val="21"/>
                      <w:color w:val="000000"/>
                    </w:rPr>
                    <w:t>≤5%（以实际测定仪器为准，无真实测量数值，换算值仅供参考）</w:t>
                  </w:r>
                </w:p>
                <w:p>
                  <w:pPr>
                    <w:pStyle w:val="null3"/>
                    <w:jc w:val="left"/>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1mg/kg(mg/L)</w:t>
                  </w:r>
                </w:p>
                <w:p>
                  <w:pPr>
                    <w:pStyle w:val="null3"/>
                    <w:jc w:val="left"/>
                  </w:pPr>
                  <w:r>
                    <w:rPr>
                      <w:rFonts w:ascii="仿宋_GB2312" w:hAnsi="仿宋_GB2312" w:cs="仿宋_GB2312" w:eastAsia="仿宋_GB2312"/>
                      <w:sz w:val="21"/>
                      <w:color w:val="000000"/>
                    </w:rPr>
                    <w:t>注意：以上量程、精度、分辨率是由国标法仪器测量后输入后的氮磷钾参数。非真实测量值，主要由电导率换算得出</w:t>
                  </w:r>
                </w:p>
                <w:p>
                  <w:pPr>
                    <w:pStyle w:val="null3"/>
                    <w:jc w:val="left"/>
                  </w:pPr>
                  <w:r>
                    <w:rPr>
                      <w:rFonts w:ascii="仿宋_GB2312" w:hAnsi="仿宋_GB2312" w:cs="仿宋_GB2312" w:eastAsia="仿宋_GB2312"/>
                      <w:sz w:val="21"/>
                      <w:color w:val="000000"/>
                    </w:rPr>
                    <w:t>【通信接口】：</w:t>
                  </w:r>
                  <w:r>
                    <w:rPr>
                      <w:rFonts w:ascii="仿宋_GB2312" w:hAnsi="仿宋_GB2312" w:cs="仿宋_GB2312" w:eastAsia="仿宋_GB2312"/>
                      <w:sz w:val="21"/>
                      <w:color w:val="000000"/>
                    </w:rPr>
                    <w:t>RS485。</w:t>
                  </w:r>
                </w:p>
                <w:p>
                  <w:pPr>
                    <w:pStyle w:val="null3"/>
                    <w:jc w:val="left"/>
                  </w:pPr>
                  <w:r>
                    <w:rPr>
                      <w:rFonts w:ascii="仿宋_GB2312" w:hAnsi="仿宋_GB2312" w:cs="仿宋_GB2312" w:eastAsia="仿宋_GB2312"/>
                      <w:sz w:val="21"/>
                      <w:color w:val="000000"/>
                    </w:rPr>
                    <w:t>【供电方式】：</w:t>
                  </w:r>
                  <w:r>
                    <w:rPr>
                      <w:rFonts w:ascii="仿宋_GB2312" w:hAnsi="仿宋_GB2312" w:cs="仿宋_GB2312" w:eastAsia="仿宋_GB2312"/>
                      <w:sz w:val="21"/>
                      <w:color w:val="000000"/>
                    </w:rPr>
                    <w:t>5-30VDC。</w:t>
                  </w:r>
                </w:p>
                <w:p>
                  <w:pPr>
                    <w:pStyle w:val="null3"/>
                    <w:jc w:val="left"/>
                  </w:pPr>
                  <w:r>
                    <w:rPr>
                      <w:rFonts w:ascii="仿宋_GB2312" w:hAnsi="仿宋_GB2312" w:cs="仿宋_GB2312" w:eastAsia="仿宋_GB2312"/>
                      <w:sz w:val="21"/>
                      <w:color w:val="000000"/>
                    </w:rPr>
                    <w:t>【平均功耗】：</w:t>
                  </w:r>
                  <w:r>
                    <w:rPr>
                      <w:rFonts w:ascii="仿宋_GB2312" w:hAnsi="仿宋_GB2312" w:cs="仿宋_GB2312" w:eastAsia="仿宋_GB2312"/>
                      <w:sz w:val="21"/>
                      <w:color w:val="000000"/>
                    </w:rPr>
                    <w:t>≤0.15W（@12V DC，25℃）</w:t>
                  </w:r>
                </w:p>
                <w:p>
                  <w:pPr>
                    <w:pStyle w:val="null3"/>
                    <w:jc w:val="left"/>
                  </w:pPr>
                  <w:r>
                    <w:rPr>
                      <w:rFonts w:ascii="仿宋_GB2312" w:hAnsi="仿宋_GB2312" w:cs="仿宋_GB2312" w:eastAsia="仿宋_GB2312"/>
                      <w:sz w:val="21"/>
                      <w:color w:val="000000"/>
                    </w:rPr>
                    <w:t>【密封材料】：黑色阻燃环氧树脂</w:t>
                  </w:r>
                </w:p>
                <w:p>
                  <w:pPr>
                    <w:pStyle w:val="null3"/>
                    <w:jc w:val="left"/>
                  </w:pPr>
                  <w:r>
                    <w:rPr>
                      <w:rFonts w:ascii="仿宋_GB2312" w:hAnsi="仿宋_GB2312" w:cs="仿宋_GB2312" w:eastAsia="仿宋_GB2312"/>
                      <w:sz w:val="21"/>
                      <w:color w:val="000000"/>
                    </w:rPr>
                    <w:t>【线缆长度】：默认</w:t>
                  </w:r>
                  <w:r>
                    <w:rPr>
                      <w:rFonts w:ascii="仿宋_GB2312" w:hAnsi="仿宋_GB2312" w:cs="仿宋_GB2312" w:eastAsia="仿宋_GB2312"/>
                      <w:sz w:val="21"/>
                      <w:color w:val="000000"/>
                    </w:rPr>
                    <w:t>2米，线缆长度可按要求定制</w:t>
                  </w:r>
                </w:p>
                <w:p>
                  <w:pPr>
                    <w:pStyle w:val="null3"/>
                    <w:jc w:val="left"/>
                  </w:pPr>
                  <w:r>
                    <w:rPr>
                      <w:rFonts w:ascii="仿宋_GB2312" w:hAnsi="仿宋_GB2312" w:cs="仿宋_GB2312" w:eastAsia="仿宋_GB2312"/>
                      <w:sz w:val="21"/>
                      <w:color w:val="000000"/>
                    </w:rPr>
                    <w:t>土壤</w:t>
                  </w:r>
                  <w:r>
                    <w:rPr>
                      <w:rFonts w:ascii="仿宋_GB2312" w:hAnsi="仿宋_GB2312" w:cs="仿宋_GB2312" w:eastAsia="仿宋_GB2312"/>
                      <w:sz w:val="21"/>
                      <w:color w:val="000000"/>
                    </w:rPr>
                    <w:t>PH变送器</w:t>
                  </w:r>
                </w:p>
                <w:p>
                  <w:pPr>
                    <w:pStyle w:val="null3"/>
                    <w:jc w:val="left"/>
                  </w:pPr>
                  <w:r>
                    <w:rPr>
                      <w:rFonts w:ascii="仿宋_GB2312" w:hAnsi="仿宋_GB2312" w:cs="仿宋_GB2312" w:eastAsia="仿宋_GB2312"/>
                      <w:sz w:val="21"/>
                      <w:color w:val="000000"/>
                    </w:rPr>
                    <w:t>【设备功能】：土壤酸碱度的检测</w:t>
                  </w:r>
                  <w:r>
                    <w:rPr>
                      <w:rFonts w:ascii="仿宋_GB2312" w:hAnsi="仿宋_GB2312" w:cs="仿宋_GB2312" w:eastAsia="仿宋_GB2312"/>
                      <w:sz w:val="21"/>
                      <w:color w:val="000000"/>
                    </w:rPr>
                    <w:t>,测量快速，无需试剂，不限检测次数。</w:t>
                  </w:r>
                </w:p>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3—9 PH</w:t>
                  </w:r>
                </w:p>
                <w:p>
                  <w:pPr>
                    <w:pStyle w:val="null3"/>
                    <w:jc w:val="left"/>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0.1</w:t>
                  </w:r>
                </w:p>
                <w:p>
                  <w:pPr>
                    <w:pStyle w:val="null3"/>
                    <w:jc w:val="left"/>
                  </w:pPr>
                  <w:r>
                    <w:rPr>
                      <w:rFonts w:ascii="仿宋_GB2312" w:hAnsi="仿宋_GB2312" w:cs="仿宋_GB2312" w:eastAsia="仿宋_GB2312"/>
                      <w:sz w:val="21"/>
                      <w:color w:val="000000"/>
                    </w:rPr>
                    <w:t>【通信接口】：</w:t>
                  </w:r>
                  <w:r>
                    <w:rPr>
                      <w:rFonts w:ascii="仿宋_GB2312" w:hAnsi="仿宋_GB2312" w:cs="仿宋_GB2312" w:eastAsia="仿宋_GB2312"/>
                      <w:sz w:val="21"/>
                      <w:color w:val="000000"/>
                    </w:rPr>
                    <w:t>RS485\4-20mA\0-5V\0-10V。</w:t>
                  </w:r>
                </w:p>
                <w:p>
                  <w:pPr>
                    <w:pStyle w:val="null3"/>
                    <w:jc w:val="left"/>
                  </w:pPr>
                  <w:r>
                    <w:rPr>
                      <w:rFonts w:ascii="仿宋_GB2312" w:hAnsi="仿宋_GB2312" w:cs="仿宋_GB2312" w:eastAsia="仿宋_GB2312"/>
                      <w:sz w:val="21"/>
                      <w:color w:val="000000"/>
                    </w:rPr>
                    <w:t>【供电方式】：</w:t>
                  </w:r>
                  <w:r>
                    <w:rPr>
                      <w:rFonts w:ascii="仿宋_GB2312" w:hAnsi="仿宋_GB2312" w:cs="仿宋_GB2312" w:eastAsia="仿宋_GB2312"/>
                      <w:sz w:val="21"/>
                      <w:color w:val="000000"/>
                    </w:rPr>
                    <w:t>5-30V DC。</w:t>
                  </w:r>
                </w:p>
                <w:p>
                  <w:pPr>
                    <w:pStyle w:val="null3"/>
                    <w:jc w:val="left"/>
                  </w:pPr>
                  <w:r>
                    <w:rPr>
                      <w:rFonts w:ascii="仿宋_GB2312" w:hAnsi="仿宋_GB2312" w:cs="仿宋_GB2312" w:eastAsia="仿宋_GB2312"/>
                      <w:sz w:val="21"/>
                      <w:color w:val="000000"/>
                    </w:rPr>
                    <w:t>【防护等级】：传感器</w:t>
                  </w:r>
                  <w:r>
                    <w:rPr>
                      <w:rFonts w:ascii="仿宋_GB2312" w:hAnsi="仿宋_GB2312" w:cs="仿宋_GB2312" w:eastAsia="仿宋_GB2312"/>
                      <w:sz w:val="21"/>
                      <w:color w:val="000000"/>
                    </w:rPr>
                    <w:t xml:space="preserve">IP68防护等级，可以将传感器整个泡在水中。  </w:t>
                  </w:r>
                </w:p>
                <w:p>
                  <w:pPr>
                    <w:pStyle w:val="null3"/>
                    <w:jc w:val="left"/>
                  </w:pPr>
                  <w:r>
                    <w:rPr>
                      <w:rFonts w:ascii="仿宋_GB2312" w:hAnsi="仿宋_GB2312" w:cs="仿宋_GB2312" w:eastAsia="仿宋_GB2312"/>
                      <w:sz w:val="21"/>
                      <w:color w:val="000000"/>
                    </w:rPr>
                    <w:t>【平均功耗】：</w:t>
                  </w:r>
                  <w:r>
                    <w:rPr>
                      <w:rFonts w:ascii="仿宋_GB2312" w:hAnsi="仿宋_GB2312" w:cs="仿宋_GB2312" w:eastAsia="仿宋_GB2312"/>
                      <w:sz w:val="21"/>
                      <w:color w:val="000000"/>
                    </w:rPr>
                    <w:t>0.5W（24V DC 供电）</w:t>
                  </w:r>
                </w:p>
                <w:p>
                  <w:pPr>
                    <w:pStyle w:val="null3"/>
                    <w:jc w:val="left"/>
                  </w:pPr>
                  <w:r>
                    <w:rPr>
                      <w:rFonts w:ascii="仿宋_GB2312" w:hAnsi="仿宋_GB2312" w:cs="仿宋_GB2312" w:eastAsia="仿宋_GB2312"/>
                      <w:sz w:val="21"/>
                      <w:color w:val="000000"/>
                    </w:rPr>
                    <w:t>【整机尺寸】：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45mm*15mm*123mm。</w:t>
                  </w:r>
                </w:p>
                <w:p>
                  <w:pPr>
                    <w:pStyle w:val="null3"/>
                    <w:jc w:val="left"/>
                  </w:pPr>
                  <w:r>
                    <w:rPr>
                      <w:rFonts w:ascii="仿宋_GB2312" w:hAnsi="仿宋_GB2312" w:cs="仿宋_GB2312" w:eastAsia="仿宋_GB2312"/>
                      <w:sz w:val="21"/>
                      <w:color w:val="000000"/>
                    </w:rPr>
                    <w:t>【探针材料】：防腐特制电极</w:t>
                  </w:r>
                </w:p>
                <w:p>
                  <w:pPr>
                    <w:pStyle w:val="null3"/>
                    <w:jc w:val="left"/>
                  </w:pPr>
                  <w:r>
                    <w:rPr>
                      <w:rFonts w:ascii="仿宋_GB2312" w:hAnsi="仿宋_GB2312" w:cs="仿宋_GB2312" w:eastAsia="仿宋_GB2312"/>
                      <w:sz w:val="21"/>
                      <w:color w:val="000000"/>
                    </w:rPr>
                    <w:t>【密封材料】：黑色阻燃环氧树脂标准款智能气象主板</w:t>
                  </w:r>
                </w:p>
                <w:p>
                  <w:pPr>
                    <w:pStyle w:val="null3"/>
                    <w:jc w:val="left"/>
                  </w:pPr>
                  <w:r>
                    <w:rPr>
                      <w:rFonts w:ascii="仿宋_GB2312" w:hAnsi="仿宋_GB2312" w:cs="仿宋_GB2312" w:eastAsia="仿宋_GB2312"/>
                      <w:sz w:val="21"/>
                      <w:color w:val="000000"/>
                    </w:rPr>
                    <w:t>【安装位置】：安装于显示屏内；</w:t>
                  </w:r>
                </w:p>
                <w:p>
                  <w:pPr>
                    <w:pStyle w:val="null3"/>
                    <w:jc w:val="left"/>
                  </w:pPr>
                  <w:r>
                    <w:rPr>
                      <w:rFonts w:ascii="仿宋_GB2312" w:hAnsi="仿宋_GB2312" w:cs="仿宋_GB2312" w:eastAsia="仿宋_GB2312"/>
                      <w:sz w:val="21"/>
                      <w:color w:val="000000"/>
                    </w:rPr>
                    <w:t>【配置方式】：支持蓝牙配置，提供蓝牙配置专用</w:t>
                  </w:r>
                  <w:r>
                    <w:rPr>
                      <w:rFonts w:ascii="仿宋_GB2312" w:hAnsi="仿宋_GB2312" w:cs="仿宋_GB2312" w:eastAsia="仿宋_GB2312"/>
                      <w:sz w:val="21"/>
                      <w:color w:val="000000"/>
                    </w:rPr>
                    <w:t>APP。</w:t>
                  </w:r>
                </w:p>
                <w:p>
                  <w:pPr>
                    <w:pStyle w:val="null3"/>
                    <w:jc w:val="left"/>
                  </w:pPr>
                  <w:r>
                    <w:rPr>
                      <w:rFonts w:ascii="仿宋_GB2312" w:hAnsi="仿宋_GB2312" w:cs="仿宋_GB2312" w:eastAsia="仿宋_GB2312"/>
                      <w:sz w:val="21"/>
                      <w:color w:val="000000"/>
                    </w:rPr>
                    <w:t>安装支架</w:t>
                  </w:r>
                  <w:r>
                    <w:rPr>
                      <w:rFonts w:ascii="仿宋_GB2312" w:hAnsi="仿宋_GB2312" w:cs="仿宋_GB2312" w:eastAsia="仿宋_GB2312"/>
                      <w:sz w:val="21"/>
                      <w:color w:val="000000"/>
                    </w:rPr>
                    <w:t xml:space="preserve"> RS-ZJ-M1（φ76mm、高2.87m）；</w:t>
                  </w:r>
                </w:p>
                <w:p>
                  <w:pPr>
                    <w:pStyle w:val="null3"/>
                    <w:jc w:val="left"/>
                  </w:pPr>
                  <w:r>
                    <w:rPr>
                      <w:rFonts w:ascii="仿宋_GB2312" w:hAnsi="仿宋_GB2312" w:cs="仿宋_GB2312" w:eastAsia="仿宋_GB2312"/>
                      <w:sz w:val="21"/>
                      <w:color w:val="000000"/>
                    </w:rPr>
                    <w:t>屏幕</w:t>
                  </w:r>
                </w:p>
                <w:p>
                  <w:pPr>
                    <w:pStyle w:val="null3"/>
                    <w:jc w:val="left"/>
                  </w:pPr>
                  <w:r>
                    <w:rPr>
                      <w:rFonts w:ascii="仿宋_GB2312" w:hAnsi="仿宋_GB2312" w:cs="仿宋_GB2312" w:eastAsia="仿宋_GB2312"/>
                      <w:sz w:val="21"/>
                      <w:color w:val="000000"/>
                    </w:rPr>
                    <w:t>【箱体尺寸】：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102cm*54cm。</w:t>
                  </w:r>
                </w:p>
                <w:p>
                  <w:pPr>
                    <w:pStyle w:val="null3"/>
                    <w:jc w:val="left"/>
                  </w:pPr>
                  <w:r>
                    <w:rPr>
                      <w:rFonts w:ascii="仿宋_GB2312" w:hAnsi="仿宋_GB2312" w:cs="仿宋_GB2312" w:eastAsia="仿宋_GB2312"/>
                      <w:sz w:val="21"/>
                      <w:color w:val="000000"/>
                    </w:rPr>
                    <w:t>【供电方式】：</w:t>
                  </w:r>
                  <w:r>
                    <w:rPr>
                      <w:rFonts w:ascii="仿宋_GB2312" w:hAnsi="仿宋_GB2312" w:cs="仿宋_GB2312" w:eastAsia="仿宋_GB2312"/>
                      <w:sz w:val="21"/>
                      <w:color w:val="000000"/>
                    </w:rPr>
                    <w:t>220VAC供电。</w:t>
                  </w:r>
                </w:p>
                <w:p>
                  <w:pPr>
                    <w:pStyle w:val="null3"/>
                    <w:jc w:val="left"/>
                  </w:pPr>
                  <w:r>
                    <w:rPr>
                      <w:rFonts w:ascii="仿宋_GB2312" w:hAnsi="仿宋_GB2312" w:cs="仿宋_GB2312" w:eastAsia="仿宋_GB2312"/>
                      <w:sz w:val="21"/>
                      <w:color w:val="000000"/>
                    </w:rPr>
                    <w:t>【安装方式】：</w:t>
                  </w:r>
                </w:p>
                <w:p>
                  <w:pPr>
                    <w:pStyle w:val="null3"/>
                    <w:jc w:val="left"/>
                  </w:pPr>
                  <w:r>
                    <w:rPr>
                      <w:rFonts w:ascii="仿宋_GB2312" w:hAnsi="仿宋_GB2312" w:cs="仿宋_GB2312" w:eastAsia="仿宋_GB2312"/>
                      <w:sz w:val="21"/>
                      <w:color w:val="000000"/>
                    </w:rPr>
                    <w:t>支持抱箍安装，配套不同的安装抱箍，可适配</w:t>
                  </w:r>
                  <w:r>
                    <w:rPr>
                      <w:rFonts w:ascii="仿宋_GB2312" w:hAnsi="仿宋_GB2312" w:cs="仿宋_GB2312" w:eastAsia="仿宋_GB2312"/>
                      <w:sz w:val="21"/>
                      <w:color w:val="000000"/>
                    </w:rPr>
                    <w:t>76mm直径、114mm直径立杆安装。</w:t>
                  </w:r>
                </w:p>
                <w:p>
                  <w:pPr>
                    <w:pStyle w:val="null3"/>
                    <w:jc w:val="left"/>
                  </w:pPr>
                  <w:r>
                    <w:rPr>
                      <w:rFonts w:ascii="仿宋_GB2312" w:hAnsi="仿宋_GB2312" w:cs="仿宋_GB2312" w:eastAsia="仿宋_GB2312"/>
                      <w:sz w:val="21"/>
                      <w:color w:val="000000"/>
                    </w:rPr>
                    <w:t>支持吊耳安装。（含</w:t>
                  </w:r>
                  <w:r>
                    <w:rPr>
                      <w:rFonts w:ascii="仿宋_GB2312" w:hAnsi="仿宋_GB2312" w:cs="仿宋_GB2312" w:eastAsia="仿宋_GB2312"/>
                      <w:sz w:val="21"/>
                      <w:color w:val="000000"/>
                    </w:rPr>
                    <w:t>3年数据传输流量）</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3</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套</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温湿度、电导率、土壤氮磷钾、</w:t>
                  </w:r>
                  <w:r>
                    <w:rPr>
                      <w:rFonts w:ascii="仿宋_GB2312" w:hAnsi="仿宋_GB2312" w:cs="仿宋_GB2312" w:eastAsia="仿宋_GB2312"/>
                      <w:sz w:val="21"/>
                      <w:color w:val="000000"/>
                    </w:rPr>
                    <w:t>PH值</w:t>
                  </w:r>
                </w:p>
              </w:tc>
            </w:tr>
            <w:tr>
              <w:tc>
                <w:tcPr>
                  <w:tcW w:type="dxa" w:w="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环境监测站控制端</w:t>
                  </w: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管理终端：管理终端</w:t>
                  </w:r>
                  <w:r>
                    <w:rPr>
                      <w:rFonts w:ascii="仿宋_GB2312" w:hAnsi="仿宋_GB2312" w:cs="仿宋_GB2312" w:eastAsia="仿宋_GB2312"/>
                      <w:sz w:val="21"/>
                      <w:color w:val="000000"/>
                    </w:rPr>
                    <w:t>:i5-13代及以上16g 512ssd win11 显示器:(实际供货以现场实际情况为准含HDMI线)宽带接入需示范点自备:</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3</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套</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示范点分控中终端建设，含控制器及屏幕</w:t>
                  </w:r>
                </w:p>
              </w:tc>
            </w:tr>
            <w:tr>
              <w:tc>
                <w:tcPr>
                  <w:tcW w:type="dxa" w:w="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生长环境监控服务</w:t>
                  </w: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 最高分辨率可达2560 × 1440 @12.5 fps，在该分辨率下可输出实时图像</w:t>
                  </w:r>
                </w:p>
                <w:p>
                  <w:pPr>
                    <w:pStyle w:val="null3"/>
                    <w:jc w:val="left"/>
                  </w:pPr>
                  <w:r>
                    <w:rPr>
                      <w:rFonts w:ascii="仿宋_GB2312" w:hAnsi="仿宋_GB2312" w:cs="仿宋_GB2312" w:eastAsia="仿宋_GB2312"/>
                      <w:sz w:val="21"/>
                      <w:color w:val="000000"/>
                    </w:rPr>
                    <w:t>• 支持平台远程配置低功耗模式，支持省电和超级省电两种工作模式</w:t>
                  </w:r>
                </w:p>
                <w:p>
                  <w:pPr>
                    <w:pStyle w:val="null3"/>
                    <w:jc w:val="left"/>
                  </w:pPr>
                  <w:r>
                    <w:rPr>
                      <w:rFonts w:ascii="仿宋_GB2312" w:hAnsi="仿宋_GB2312" w:cs="仿宋_GB2312" w:eastAsia="仿宋_GB2312"/>
                      <w:sz w:val="21"/>
                      <w:color w:val="000000"/>
                    </w:rPr>
                    <w:t>• 支持萤石平台，海康互联接入</w:t>
                  </w:r>
                </w:p>
                <w:p>
                  <w:pPr>
                    <w:pStyle w:val="null3"/>
                    <w:jc w:val="left"/>
                  </w:pPr>
                  <w:r>
                    <w:rPr>
                      <w:rFonts w:ascii="仿宋_GB2312" w:hAnsi="仿宋_GB2312" w:cs="仿宋_GB2312" w:eastAsia="仿宋_GB2312"/>
                      <w:sz w:val="21"/>
                      <w:color w:val="000000"/>
                    </w:rPr>
                    <w:t>• 支持LTE-TDD/LTE-FDD 4G无线网络传输，外置天线</w:t>
                  </w:r>
                </w:p>
                <w:p>
                  <w:pPr>
                    <w:pStyle w:val="null3"/>
                    <w:jc w:val="left"/>
                  </w:pPr>
                  <w:r>
                    <w:rPr>
                      <w:rFonts w:ascii="仿宋_GB2312" w:hAnsi="仿宋_GB2312" w:cs="仿宋_GB2312" w:eastAsia="仿宋_GB2312"/>
                      <w:sz w:val="21"/>
                      <w:color w:val="000000"/>
                    </w:rPr>
                    <w:t>• 支持智能补光功能，支持白光30 m，红外30 m</w:t>
                  </w:r>
                </w:p>
                <w:p>
                  <w:pPr>
                    <w:pStyle w:val="null3"/>
                    <w:jc w:val="left"/>
                  </w:pPr>
                  <w:r>
                    <w:rPr>
                      <w:rFonts w:ascii="仿宋_GB2312" w:hAnsi="仿宋_GB2312" w:cs="仿宋_GB2312" w:eastAsia="仿宋_GB2312"/>
                      <w:sz w:val="21"/>
                      <w:color w:val="000000"/>
                    </w:rPr>
                    <w:t>• 1个内置麦克风，1个内置扬声器，支持双向语音对讲</w:t>
                  </w:r>
                </w:p>
                <w:p>
                  <w:pPr>
                    <w:pStyle w:val="null3"/>
                    <w:jc w:val="left"/>
                  </w:pPr>
                  <w:r>
                    <w:rPr>
                      <w:rFonts w:ascii="仿宋_GB2312" w:hAnsi="仿宋_GB2312" w:cs="仿宋_GB2312" w:eastAsia="仿宋_GB2312"/>
                      <w:sz w:val="21"/>
                      <w:color w:val="000000"/>
                    </w:rPr>
                    <w:t>• 支持MicroSD/MicroSDHC/MicroSDXC卡，最大512 GB</w:t>
                  </w:r>
                </w:p>
                <w:p>
                  <w:pPr>
                    <w:pStyle w:val="null3"/>
                    <w:jc w:val="left"/>
                  </w:pPr>
                  <w:r>
                    <w:rPr>
                      <w:rFonts w:ascii="仿宋_GB2312" w:hAnsi="仿宋_GB2312" w:cs="仿宋_GB2312" w:eastAsia="仿宋_GB2312"/>
                      <w:sz w:val="21"/>
                      <w:color w:val="000000"/>
                    </w:rPr>
                    <w:t>• 球机符合IP66防水防尘设计</w:t>
                  </w:r>
                </w:p>
                <w:p>
                  <w:pPr>
                    <w:pStyle w:val="null3"/>
                    <w:jc w:val="left"/>
                  </w:pPr>
                  <w:r>
                    <w:rPr>
                      <w:rFonts w:ascii="仿宋_GB2312" w:hAnsi="仿宋_GB2312" w:cs="仿宋_GB2312" w:eastAsia="仿宋_GB2312"/>
                      <w:sz w:val="21"/>
                      <w:color w:val="000000"/>
                    </w:rPr>
                    <w:t>• 支持AOV功能，支持24小时轻存储，有效降低耗电量</w:t>
                  </w:r>
                </w:p>
                <w:p>
                  <w:pPr>
                    <w:pStyle w:val="null3"/>
                    <w:jc w:val="left"/>
                  </w:pPr>
                  <w:r>
                    <w:rPr>
                      <w:rFonts w:ascii="仿宋_GB2312" w:hAnsi="仿宋_GB2312" w:cs="仿宋_GB2312" w:eastAsia="仿宋_GB2312"/>
                      <w:sz w:val="21"/>
                      <w:color w:val="000000"/>
                    </w:rPr>
                    <w:t>• 支持电池夹拆卸功能，内置32WH电池，支持AOV模式下7天续航</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1"/>
                      <w:color w:val="000000"/>
                    </w:rPr>
                    <w:t>• 低温启动及高温工作正常()</w:t>
                  </w:r>
                </w:p>
                <w:p>
                  <w:pPr>
                    <w:pStyle w:val="null3"/>
                    <w:jc w:val="left"/>
                  </w:pPr>
                  <w:r>
                    <w:rPr>
                      <w:rFonts w:ascii="仿宋_GB2312" w:hAnsi="仿宋_GB2312" w:cs="仿宋_GB2312" w:eastAsia="仿宋_GB2312"/>
                      <w:sz w:val="21"/>
                      <w:color w:val="000000"/>
                    </w:rPr>
                    <w:t>• 辐射骚扰（30MHz~1GHz）以内</w:t>
                  </w:r>
                </w:p>
                <w:p>
                  <w:pPr>
                    <w:pStyle w:val="null3"/>
                    <w:jc w:val="left"/>
                  </w:pPr>
                  <w:r>
                    <w:rPr>
                      <w:rFonts w:ascii="仿宋_GB2312" w:hAnsi="仿宋_GB2312" w:cs="仿宋_GB2312" w:eastAsia="仿宋_GB2312"/>
                      <w:sz w:val="21"/>
                      <w:color w:val="000000"/>
                    </w:rPr>
                    <w:t>• 含3-5天的太阳能供电系统</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6</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套</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环境监控服务附件</w:t>
                  </w: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3米监控专用立杆（含地笼）</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6</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套</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物联网卡</w:t>
                  </w: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含</w:t>
                  </w:r>
                  <w:r>
                    <w:rPr>
                      <w:rFonts w:ascii="仿宋_GB2312" w:hAnsi="仿宋_GB2312" w:cs="仿宋_GB2312" w:eastAsia="仿宋_GB2312"/>
                      <w:sz w:val="21"/>
                      <w:color w:val="000000"/>
                    </w:rPr>
                    <w:t>3年流量（视频监控传输流量3年）</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6</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张</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系统集成服务</w:t>
                  </w: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软硬件集成安装调试及数据对接服务</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1</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项</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云服务器</w:t>
                  </w: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系统部署云服务器资源，程序运行及数据存储</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1</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项</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削皮机</w:t>
                  </w: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1500*1000*1600mm；材质：304不锈钢；功率2.2KW；电压220V；</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1</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台</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二、宣传推广服务</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140"/>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线上品牌宣传服务</w:t>
                  </w: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both"/>
                  </w:pPr>
                  <w:r>
                    <w:rPr>
                      <w:rFonts w:ascii="仿宋_GB2312" w:hAnsi="仿宋_GB2312" w:cs="仿宋_GB2312" w:eastAsia="仿宋_GB2312"/>
                      <w:sz w:val="21"/>
                      <w:color w:val="000000"/>
                    </w:rPr>
                    <w:t>品牌文案策划与内容制作</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3</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套</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围绕富平柿饼核心卖点，</w:t>
                  </w:r>
                  <w:r>
                    <w:br/>
                  </w:r>
                  <w:r>
                    <w:rPr>
                      <w:rFonts w:ascii="仿宋_GB2312" w:hAnsi="仿宋_GB2312" w:cs="仿宋_GB2312" w:eastAsia="仿宋_GB2312"/>
                      <w:sz w:val="21"/>
                      <w:color w:val="000000"/>
                    </w:rPr>
                    <w:t>撰写品牌故事、产品卖点、宣传文案等内容</w:t>
                  </w:r>
                </w:p>
              </w:tc>
            </w:tr>
            <w:tr>
              <w:tc>
                <w:tcPr>
                  <w:tcW w:type="dxa" w:w="140"/>
                  <w:vMerge/>
                  <w:tcBorders>
                    <w:top w:val="none" w:color="000000" w:sz="4"/>
                    <w:left w:val="single" w:color="000000" w:sz="4"/>
                    <w:bottom w:val="non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both"/>
                  </w:pPr>
                  <w:r>
                    <w:rPr>
                      <w:rFonts w:ascii="仿宋_GB2312" w:hAnsi="仿宋_GB2312" w:cs="仿宋_GB2312" w:eastAsia="仿宋_GB2312"/>
                      <w:sz w:val="21"/>
                      <w:color w:val="000000"/>
                    </w:rPr>
                    <w:t>微信公众号平台宣传投放</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3</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套</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覆盖</w:t>
                  </w:r>
                  <w:r>
                    <w:rPr>
                      <w:rFonts w:ascii="仿宋_GB2312" w:hAnsi="仿宋_GB2312" w:cs="仿宋_GB2312" w:eastAsia="仿宋_GB2312"/>
                      <w:sz w:val="21"/>
                      <w:color w:val="000000"/>
                    </w:rPr>
                    <w:t>3个目标区域，进行微信公众号软文投放，精准触达消费群体。</w:t>
                  </w:r>
                </w:p>
              </w:tc>
            </w:tr>
            <w:tr>
              <w:tc>
                <w:tcPr>
                  <w:tcW w:type="dxa" w:w="140"/>
                  <w:vMerge/>
                  <w:tcBorders>
                    <w:top w:val="none" w:color="000000" w:sz="4"/>
                    <w:left w:val="single" w:color="000000" w:sz="4"/>
                    <w:bottom w:val="non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both"/>
                  </w:pPr>
                  <w:r>
                    <w:rPr>
                      <w:rFonts w:ascii="仿宋_GB2312" w:hAnsi="仿宋_GB2312" w:cs="仿宋_GB2312" w:eastAsia="仿宋_GB2312"/>
                      <w:sz w:val="21"/>
                      <w:color w:val="000000"/>
                    </w:rPr>
                    <w:t>短视频内容创作与投放</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3</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套</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制作多区域通用的富平柿饼产品特写、制作工艺、产地故事等短视频，并进行流量推广。</w:t>
                  </w:r>
                </w:p>
              </w:tc>
            </w:tr>
            <w:tr>
              <w:tc>
                <w:tcPr>
                  <w:tcW w:type="dxa" w:w="140"/>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外出市场推介服务</w:t>
                  </w: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both"/>
                  </w:pPr>
                  <w:r>
                    <w:rPr>
                      <w:rFonts w:ascii="仿宋_GB2312" w:hAnsi="仿宋_GB2312" w:cs="仿宋_GB2312" w:eastAsia="仿宋_GB2312"/>
                      <w:sz w:val="21"/>
                      <w:color w:val="000000"/>
                    </w:rPr>
                    <w:t>线下宣传策划组织</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3</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套</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赴省内外</w:t>
                  </w:r>
                  <w:r>
                    <w:rPr>
                      <w:rFonts w:ascii="仿宋_GB2312" w:hAnsi="仿宋_GB2312" w:cs="仿宋_GB2312" w:eastAsia="仿宋_GB2312"/>
                      <w:sz w:val="21"/>
                      <w:color w:val="000000"/>
                    </w:rPr>
                    <w:t>3个重点市场、开展推介、展销活动，统筹策划线下宣传推介活动方案与流程安排。</w:t>
                  </w:r>
                </w:p>
              </w:tc>
            </w:tr>
            <w:tr>
              <w:tc>
                <w:tcPr>
                  <w:tcW w:type="dxa" w:w="140"/>
                  <w:vMerge/>
                  <w:tcBorders>
                    <w:top w:val="none" w:color="000000" w:sz="4"/>
                    <w:left w:val="single" w:color="000000" w:sz="4"/>
                    <w:bottom w:val="non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both"/>
                  </w:pPr>
                  <w:r>
                    <w:rPr>
                      <w:rFonts w:ascii="仿宋_GB2312" w:hAnsi="仿宋_GB2312" w:cs="仿宋_GB2312" w:eastAsia="仿宋_GB2312"/>
                      <w:sz w:val="21"/>
                      <w:color w:val="000000"/>
                    </w:rPr>
                    <w:t>专场宣传推介活动策划与执行</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3</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项</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在线下</w:t>
                  </w:r>
                  <w:r>
                    <w:rPr>
                      <w:rFonts w:ascii="仿宋_GB2312" w:hAnsi="仿宋_GB2312" w:cs="仿宋_GB2312" w:eastAsia="仿宋_GB2312"/>
                      <w:sz w:val="21"/>
                      <w:color w:val="000000"/>
                    </w:rPr>
                    <w:t>3个重点市场组织好富平柿饼专场宣传推介，拓展外部销售渠道，强化区域品牌影响力，助力产品外销。</w:t>
                  </w:r>
                </w:p>
              </w:tc>
            </w:tr>
            <w:tr>
              <w:tc>
                <w:tcPr>
                  <w:tcW w:type="dxa" w:w="140"/>
                  <w:vMerge/>
                  <w:tcBorders>
                    <w:top w:val="none" w:color="000000" w:sz="4"/>
                    <w:left w:val="single" w:color="000000" w:sz="4"/>
                    <w:bottom w:val="non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both"/>
                  </w:pPr>
                  <w:r>
                    <w:rPr>
                      <w:rFonts w:ascii="仿宋_GB2312" w:hAnsi="仿宋_GB2312" w:cs="仿宋_GB2312" w:eastAsia="仿宋_GB2312"/>
                      <w:sz w:val="21"/>
                      <w:color w:val="000000"/>
                    </w:rPr>
                    <w:t>品牌展示物料设计制作与现场布置</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3</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项</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在线下的</w:t>
                  </w:r>
                  <w:r>
                    <w:rPr>
                      <w:rFonts w:ascii="仿宋_GB2312" w:hAnsi="仿宋_GB2312" w:cs="仿宋_GB2312" w:eastAsia="仿宋_GB2312"/>
                      <w:sz w:val="21"/>
                      <w:color w:val="000000"/>
                    </w:rPr>
                    <w:t>3个重点市场推介活动中完成展架、宣传册等物料设计制作，并完成活动现场布置。</w:t>
                  </w:r>
                </w:p>
              </w:tc>
            </w:tr>
            <w:tr>
              <w:tc>
                <w:tcPr>
                  <w:tcW w:type="dxa" w:w="140"/>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宣传技术支撑服务</w:t>
                  </w: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both"/>
                  </w:pPr>
                  <w:r>
                    <w:rPr>
                      <w:rFonts w:ascii="仿宋_GB2312" w:hAnsi="仿宋_GB2312" w:cs="仿宋_GB2312" w:eastAsia="仿宋_GB2312"/>
                      <w:sz w:val="21"/>
                      <w:color w:val="000000"/>
                    </w:rPr>
                    <w:t>宣传数据采集与效果监测分析</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1</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项</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对所负责的线上宣传与线下推介活动的曝光量、互动量、转化效果进行数据采集与分析。</w:t>
                  </w:r>
                </w:p>
              </w:tc>
            </w:tr>
            <w:tr>
              <w:tc>
                <w:tcPr>
                  <w:tcW w:type="dxa" w:w="140"/>
                  <w:vMerge/>
                  <w:tcBorders>
                    <w:top w:val="none" w:color="000000" w:sz="4"/>
                    <w:left w:val="single" w:color="000000" w:sz="4"/>
                    <w:bottom w:val="non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both"/>
                  </w:pPr>
                  <w:r>
                    <w:rPr>
                      <w:rFonts w:ascii="仿宋_GB2312" w:hAnsi="仿宋_GB2312" w:cs="仿宋_GB2312" w:eastAsia="仿宋_GB2312"/>
                      <w:sz w:val="21"/>
                      <w:color w:val="000000"/>
                    </w:rPr>
                    <w:t>推广策略动态优化与调整</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1</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项</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根据数据监测结果，动态优化投放策略、内容方向与推广渠道。</w:t>
                  </w:r>
                </w:p>
              </w:tc>
            </w:tr>
            <w:tr>
              <w:tc>
                <w:tcPr>
                  <w:tcW w:type="dxa" w:w="140"/>
                  <w:vMerge/>
                  <w:tcBorders>
                    <w:top w:val="none" w:color="000000" w:sz="4"/>
                    <w:left w:val="single" w:color="000000" w:sz="4"/>
                    <w:bottom w:val="non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both"/>
                  </w:pPr>
                  <w:r>
                    <w:rPr>
                      <w:rFonts w:ascii="仿宋_GB2312" w:hAnsi="仿宋_GB2312" w:cs="仿宋_GB2312" w:eastAsia="仿宋_GB2312"/>
                      <w:sz w:val="21"/>
                      <w:color w:val="000000"/>
                    </w:rPr>
                    <w:t>全流程技术保障与问题响应</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1</w:t>
                  </w:r>
                </w:p>
              </w:tc>
              <w:tc>
                <w:tcPr>
                  <w:tcW w:type="dxa" w:w="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项</w:t>
                  </w:r>
                </w:p>
              </w:tc>
              <w:tc>
                <w:tcPr>
                  <w:tcW w:type="dxa" w:w="2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提供全流程技术支撑，及时响应并解决推广过程中出现的技术问题。</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符合国家相关行业标准及技术规范，按磋商文件、响应文件及澄清函、项目检查情况等综合指标进行验收。各项指标均应符合验收标准及要求。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项目实施完成后由项目实施单位提交资金拨付申请，具体时限以财政实际拨款为准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须提供2024年或2025年经审计的财务报告，（成立时间至提交投标文件截止时间不足一年的可提供成立后任意时段的资产负债表），或其基本存款账户开户银行出具的资信证明及基本存款账户开户许可证 ；</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供应商具有独立承担民事责任能力的法人、其他组织或自然人，并出具合法有效的营业执照或事业单位法人证书等国家规定的相关证明，自然人参与的提供其合法登记证明文件； 投标文件中应提供：上述相关证件资料的复印件或扫描件并加盖供应商公章;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法定代表人参加投标的，须提供法定代表人身份证明；法定代表人授权他人参加投标的，须提供法定代表人委托授权书；磋商文件中凡是需要法定代表人签字或盖章之处，非法人单位的负责人均参照执行;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提供健全的财务会计制度的证明材料</w:t>
            </w:r>
          </w:p>
        </w:tc>
        <w:tc>
          <w:tcPr>
            <w:tcW w:type="dxa" w:w="3322"/>
          </w:tcPr>
          <w:p>
            <w:pPr>
              <w:pStyle w:val="null3"/>
            </w:pPr>
            <w:r>
              <w:rPr>
                <w:rFonts w:ascii="仿宋_GB2312" w:hAnsi="仿宋_GB2312" w:cs="仿宋_GB2312" w:eastAsia="仿宋_GB2312"/>
              </w:rPr>
              <w:t>须提供2024年或2025年经审计的财务报告，（成立时间至提交投标文件截止时间不足一年的可提供成立后任意时段的资产负债表），或其基本存款账户开户银行出具的资信证明及基本存款账户开户许可证 ；</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须提供依法缴纳税收资金的良好记录（提供投标截止时间前六个月内任意一个月份的缴费凭据复印 件并加盖投标单位公章）；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社会保障资金的良好记录</w:t>
            </w:r>
          </w:p>
        </w:tc>
        <w:tc>
          <w:tcPr>
            <w:tcW w:type="dxa" w:w="3322"/>
          </w:tcPr>
          <w:p>
            <w:pPr>
              <w:pStyle w:val="null3"/>
            </w:pPr>
            <w:r>
              <w:rPr>
                <w:rFonts w:ascii="仿宋_GB2312" w:hAnsi="仿宋_GB2312" w:cs="仿宋_GB2312" w:eastAsia="仿宋_GB2312"/>
              </w:rPr>
              <w:t>须提供依法缴纳社会保障资金的良好记录（提供投标截止时间前六个月内任意一个月份的 缴纳凭据复印件并加盖单位公章）;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供应商参加政府采购活动前三年内，在经营活动中无重大违法记录</w:t>
            </w:r>
          </w:p>
        </w:tc>
        <w:tc>
          <w:tcPr>
            <w:tcW w:type="dxa" w:w="3322"/>
          </w:tcPr>
          <w:p>
            <w:pPr>
              <w:pStyle w:val="null3"/>
            </w:pPr>
            <w:r>
              <w:rPr>
                <w:rFonts w:ascii="仿宋_GB2312" w:hAnsi="仿宋_GB2312" w:cs="仿宋_GB2312" w:eastAsia="仿宋_GB2312"/>
              </w:rPr>
              <w:t>供应商参加政府采购活动前三年内，在经营活动中无重大违法记录的书面声明（成立时间至提交响应文件截止时间不足三年的可提供成立至今的书面声明）;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案件当事人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提供投标保证金转账凭证及开户银行许可证复印件并加盖投标单位公章；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本项目不接受联合体投标,投标单位应提供非联合体声明；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是否面向中小型企业</w:t>
            </w:r>
          </w:p>
        </w:tc>
        <w:tc>
          <w:tcPr>
            <w:tcW w:type="dxa" w:w="3322"/>
          </w:tcPr>
          <w:p>
            <w:pPr>
              <w:pStyle w:val="null3"/>
            </w:pPr>
            <w:r>
              <w:rPr>
                <w:rFonts w:ascii="仿宋_GB2312" w:hAnsi="仿宋_GB2312" w:cs="仿宋_GB2312" w:eastAsia="仿宋_GB2312"/>
              </w:rPr>
              <w:t>非专门面向中小型企业。</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商务应答表 服务方案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服务商针对本项目的整体服务方案，内容包含：①服务目标； ②服务实施步骤计划(服务工作流程)；③服务管理规章制度；④工作重点与难点分析及对应措施。 (2)评分标准 ①完整性：方案必须全面，对评审内容中的各项要求有详细描 述； ②可实施性：切合本项目实际情况，提出切实可行、合理的方案； ③针对性：方案能够紧扣项目实 际情况，内容科学合理。 (3)赋分标准(满分12分) ①服务目标：每完全满足一个评审标准得1分，满分3分； ②服务实施步骤计划：每完全满足一个评审标准得1分，满分3分； ③服务管理规章制度：每完全满足一个评审标准得1分，满分3分。 ④工作重点与难点分析及对应措施：每完全满足一个评审标准得1分，满分3分。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(1)评审内容 服务商针对本项目的服务保障措施，内容包含：①质量保障措施；②安全保障措施；③进度保障措施；④服务人员保障措施。 (2)评分标准 ①完整性：保障措施必须全面，对评审内容中的各项要求有详细描述； ②可实施性：切合本项目实际情况，提出切实可行、合理的保障措施； ③针对性：保障措施能够紧扣项目实际情况，内容科学合理。 (3)赋分标准(满分12分) ①质量保障措施：每完全满足一个评审标准得1分，满分3分； ②安全保障措施：每完全满足一个评审标准得1分，满分3分； ③进度保障措施：每完全满足一个评审标准得1分，满分3分； ④服务人员保障措施：每完全满足一个评审标准得1分，满分3分。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(1)项目经理 (4分) ①拟担任本项目的项目经理具有计算机软件或信息系统相关的高级职称或资格证书，得2分。 ②拟担任本项目的项目经理具有担任类似的项目负责人或技术负责人的经验，得2分。 评审依据：须提供项目负责人的身份证、相关证书、业绩证明材料和磋商响应文件递交前3个月内任意1个月的社保缴纳证明或社保局出具的有效证明材料。未能提供有效证明材或证明材料 不完整的不计入评分。 （2）技术负责人（2分） ①拟担任本项目的技术负责人具有高级及以上职称或资格证书，得1分。 ②拟担任本项目的技术负责人具备担任类似项目负责人或技术负责人的经验，提供业绩证明材料，得1分。 评审依据：须提供技术负责人的身份证、相关证书和磋商响应文件递交前3个月内任意1个月的社保缴纳证明或社保局出具的有效证明材料。未能提供有效证明材或证明材料不完整的不计入评分。 (3)项目团队(5分) 除项目经理、技术负责人外，其他项目组成员中，具有软件设计、软件测评、信息系统等相关职称或资格证书的人数不少于3人，满足条件得3分。 在此基础上，其他项目组成员中每额外增加1名具备相关专业职称或资格证书的成员，每人加1分，最多可累计加2分。评审依据：须提供所有项目组成员的身份证、相关证书和磋商响应文件递交前3个月内任意1个月的社保缴纳证明或社保局出具的有效证明材料。未能提供有效证明材或证明材料不完整的不计入评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服务人员组织方案</w:t>
            </w:r>
          </w:p>
        </w:tc>
        <w:tc>
          <w:tcPr>
            <w:tcW w:type="dxa" w:w="2492"/>
          </w:tcPr>
          <w:p>
            <w:pPr>
              <w:pStyle w:val="null3"/>
            </w:pPr>
            <w:r>
              <w:rPr>
                <w:rFonts w:ascii="仿宋_GB2312" w:hAnsi="仿宋_GB2312" w:cs="仿宋_GB2312" w:eastAsia="仿宋_GB2312"/>
              </w:rPr>
              <w:t>(1)评审内容 服务商针对本项目的服务人员组织方案，内容包含：①岗位工作职责及管理制度；②服务人员考核制度；③服务人员培训、日常教育计划。 (2)评分标准 ①完整性：方案必须全面，对评审内容中的各项要求有详细描述 ； ②可实施性：切合本项目实际情况，提出切实可行、合理的方案； ③针对性：方案能够紧扣项目实际情况，内容科学合理，人员配置符合本项目服务人员要求。 (3)赋分标准(满分9分) ①岗位工作职责及管理制度：每完全满足一个评审标准得1分，满分3分； ②服务人员考核制度：每完全满足一个评审标准得1分，满分3分； ③服务人员培训、日常教育计划：每完全满足一个评审标准得1分，满分3分。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服务商针对本项目的应急预案，内容包含：①应急预案及保障措施；②应急人员安排。 (2)评分标准 ①完整性：方案必须全面，对评审内容中的各项要求有详细描述； ②可实施性：切合本项目实际情况，提出切实可行、合理的方案； ③针对性：方案能够紧扣项目实际情况，内容科学合理。 (3)赋分标准(满分6分) ①应急预案及保障措施：每完全满足一个评审标准得1分，满分3分； ②应急人员安排：每完全满足一个评审标准得1分，满分3分；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故障响应方案</w:t>
            </w:r>
          </w:p>
        </w:tc>
        <w:tc>
          <w:tcPr>
            <w:tcW w:type="dxa" w:w="2492"/>
          </w:tcPr>
          <w:p>
            <w:pPr>
              <w:pStyle w:val="null3"/>
            </w:pPr>
            <w:r>
              <w:rPr>
                <w:rFonts w:ascii="仿宋_GB2312" w:hAnsi="仿宋_GB2312" w:cs="仿宋_GB2312" w:eastAsia="仿宋_GB2312"/>
              </w:rPr>
              <w:t>（1）评审内容：针对本项目的故障响应方案，包括不限于：①故障识别和报告机制；②故障分析和定位；③故障修复（含具体的故障修复响应时间）；④沟通反馈机制等。（2）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（1）评审内容：所投设备技术参数清楚、明确，产品的选型满足文件技术要求。提供检测报告等相关证明材料。（2）评分标准： 完全满足磋商文件及用户使用要求，证明材料清晰明确的得 8分； 完全满足磋商文件及用户使用要求，证明材料不够完善的得 5分； 基本符合磋商文件及用户使用要求，证明材料基本完整的得3分。 未提供或技术参数偏差大或未提供证明材料的得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服务商针对本项目的服务承诺，内容包含：①服务质量承诺；② 故障响应及解决时间承诺；③本地化服务承诺。 (2)评分标准 ①完整性：服务承诺必须全面，对评审内容中的各项要求有详细描述； ②可实施性：切合本项目实际情况，提出切实可行、合理的服务承诺； ③针对性：服务承诺能够紧扣项目实际情况，内容科学合理。 (3)赋分标准(满分9分) ①服务质量承诺：每完全满足一个评审标准得1分，满分3分； ②故障响应及解决时间承诺：每完全满足一个评审标准得1分，满分3分； ③本地化服务承诺：每完全满足 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（1）评审内容：针对本项目设备、设施的日常使用、维护保养提出合理化建议和方案。 （2）评分标准：提出的合理化建议切实解决使用问题，可行性高得 5 分； 提出的合理化建议能解决部分管理困难，可行性较高得3分； 提出的合理化建议能解决部分管理困难，但可行性不高得1分； 未提供或无法实施得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服务商需提供2022年1月1日以来承担过类似项目业绩，每个业绩计2分，最高计6分。 注：类似业绩以合同签订时间为准，未提供或不清晰导致无法识别的不予以认可。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类似业绩一览表.docx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投标报价评标基准价=有效投标报价的最低值，有效投标报价等于基准值的得满分，报价得分=（投标基准价/最后报价）×10%×100。有效投标报价为通过初步审查的供应商的最后报价。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