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版本号：QCZB-2026-01420260331001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富平县“向村行”农文旅融合智慧平台项目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QCZB-2026-014</w:t>
      </w:r>
      <w:r>
        <w:br/>
      </w:r>
      <w:r>
        <w:br/>
      </w:r>
      <w:r>
        <w:br/>
      </w:r>
    </w:p>
    <w:p>
      <w:pPr>
        <w:pStyle w:val="null3"/>
        <w:jc w:val="center"/>
        <w:outlineLvl w:val="5"/>
      </w:pPr>
      <w:r>
        <w:rPr>
          <w:rFonts w:ascii="仿宋_GB2312" w:hAnsi="仿宋_GB2312" w:cs="仿宋_GB2312" w:eastAsia="仿宋_GB2312"/>
          <w:sz w:val="15"/>
          <w:b/>
        </w:rPr>
        <w:t>富平县农业农村局</w:t>
      </w:r>
    </w:p>
    <w:p>
      <w:pPr>
        <w:pStyle w:val="null3"/>
        <w:jc w:val="center"/>
        <w:outlineLvl w:val="5"/>
      </w:pPr>
      <w:r>
        <w:rPr>
          <w:rFonts w:ascii="仿宋_GB2312" w:hAnsi="仿宋_GB2312" w:cs="仿宋_GB2312" w:eastAsia="仿宋_GB2312"/>
          <w:sz w:val="15"/>
          <w:b/>
        </w:rPr>
        <w:t>陕西乾畅工程项目管理有限公司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陕西乾畅工程项目管理有限公司</w:t>
      </w:r>
      <w:r>
        <w:rPr>
          <w:rFonts w:ascii="仿宋_GB2312" w:hAnsi="仿宋_GB2312" w:cs="仿宋_GB2312" w:eastAsia="仿宋_GB2312"/>
        </w:rPr>
        <w:t>（以下简称“代理机构”）受</w:t>
      </w:r>
      <w:r>
        <w:rPr>
          <w:rFonts w:ascii="仿宋_GB2312" w:hAnsi="仿宋_GB2312" w:cs="仿宋_GB2312" w:eastAsia="仿宋_GB2312"/>
        </w:rPr>
        <w:t>富平县农业农村局</w:t>
      </w:r>
      <w:r>
        <w:rPr>
          <w:rFonts w:ascii="仿宋_GB2312" w:hAnsi="仿宋_GB2312" w:cs="仿宋_GB2312" w:eastAsia="仿宋_GB2312"/>
        </w:rPr>
        <w:t>委托，拟对</w:t>
      </w:r>
      <w:r>
        <w:rPr>
          <w:rFonts w:ascii="仿宋_GB2312" w:hAnsi="仿宋_GB2312" w:cs="仿宋_GB2312" w:eastAsia="仿宋_GB2312"/>
        </w:rPr>
        <w:t>富平县“向村行”农文旅融合智慧平台项目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QCZB-2026-014</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富平县“向村行”农文旅融合智慧平台项目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旨在建设一个集信息展示、在线预订、互动分享、路线推荐、数据分析等功能于一体的农文旅综合服务平台——“向村行”。平台将以微信、支付宝小程序为载体，整合富平县内亲子乐园、观光游玩、休闲采摘、民宿旅居、乡野露营、特色村落、精品线路、非遗项目等资源，打造一站式乡村旅游服务门户。</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采购包1（富平县“向村行”农文旅融合智慧平台项目）：属于专门面向中小企业采购。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或授权委托书：法定代表人直接投标须提交法定代表人身份证明书，法定代表人授权代表参加投标的，须出具授权书及被授权人身份证复印件，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6、承诺函：供应商须提供具有履行合同所必需的设备和专业技术能力的承诺函(加盖供应商公章)，供应商需在项目电子化交易系统中按要求上传相应证明文件并进行电子签章；</w:t>
      </w:r>
    </w:p>
    <w:p>
      <w:pPr>
        <w:pStyle w:val="null3"/>
      </w:pPr>
      <w:r>
        <w:rPr>
          <w:rFonts w:ascii="仿宋_GB2312" w:hAnsi="仿宋_GB2312" w:cs="仿宋_GB2312" w:eastAsia="仿宋_GB2312"/>
        </w:rPr>
        <w:t>7、书面声明：供应商应具备良好的商业信誉，提供参加政府采购活动前3年内在经营活动中没有重大违法记录的书面声明，供应商需在项目电子化交易系统中按要求上传相应证明文件并进行电子签章；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pPr>
        <w:pStyle w:val="null3"/>
      </w:pPr>
      <w:r>
        <w:rPr>
          <w:rFonts w:ascii="仿宋_GB2312" w:hAnsi="仿宋_GB2312" w:cs="仿宋_GB2312" w:eastAsia="仿宋_GB2312"/>
        </w:rPr>
        <w:t>9、本项目专门面向中小企业采购：本项目专门面向中小企业采购，仅限符合《政府采购促进中小企业发展管理办法》（财库〔2020〕46号）条件的企业参与，供应商应填写中小企业声明函并对真实性负责（残疾人福利性单位及监狱企业视同为小型、微型企业）。</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姜旭鹏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13136766126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陕西乾畅工程项目管理有限公司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西安市雁塔区太白南路5号紫薇尚层西一楼一单元605室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17802936424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代理服务费收费标准：（1）中标服务费按约定由中标单位支付，中标单位在领取中标通知书前，须向招标代理机构支付中标服务费。 （2）中标服务费参照《招标代理服务收费管理暂行办法的通知》(计价格〔2002〕1980号)、《关于招标代理服务收费有关问题的通知》（发改办价格〔2003〕857号）以及《关于降低部分建设项目收费标准规范收费行为等有关问题的通知》(发改价格〔2011〕534号)，以货物收费标准交纳招标服务费。 （3）招标代理服务费由中标单位在领取中标通知书之前通过电汇、转账或现金存款等非收取现金方式交纳至陕西乾畅工程项目管理有限公司的服务费账户。 中标服务费账户为： 招标代理机构开户名称：陕西乾畅工程项目管理有限公司 开户行名称：中国银行股份有限公司西安鼓楼支行账号：103688196931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富平县农业农村局</w:t>
      </w:r>
      <w:r>
        <w:rPr>
          <w:rFonts w:ascii="仿宋_GB2312" w:hAnsi="仿宋_GB2312" w:cs="仿宋_GB2312" w:eastAsia="仿宋_GB2312"/>
        </w:rPr>
        <w:t>和</w:t>
      </w:r>
      <w:r>
        <w:rPr>
          <w:rFonts w:ascii="仿宋_GB2312" w:hAnsi="仿宋_GB2312" w:cs="仿宋_GB2312" w:eastAsia="仿宋_GB2312"/>
        </w:rPr>
        <w:t>陕西乾畅工程项目管理有限公司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陕西乾畅工程项目管理有限公司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富平县农业农村局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陕西乾畅工程项目管理有限公司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验收要求 ①项目分阶段验收，包括平台上线验收、内容完成验收、运营中期验收、项目终期验收； ②验收标准包括：平台功能实现情况、商家入驻数量、内容发布数量、路线策划数量、培训完成情况、商家反馈等； ③项目终期需提交完整的运营总结报告、数据分析报告、商家培训档案、用户反馈记录等材料。</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旨在建设一个集信息展示、在线预订、互动分享、路线推荐、数据分析等功能于一体的农文旅综合服务平台——“向村行”。平台将以微信、支付宝小程序为载体，整合富平县内亲子乐园、观光游玩、休闲采摘、民宿旅居、乡野露营、特色村落、精品线路、非遗项目等资源，打造一站式乡村旅游服务门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富平县"向村行"农文旅融合智慧平台项目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标的名称：富平县"向村行"农文旅融合智慧平台项目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一、项目背景概况</w:t>
            </w:r>
          </w:p>
          <w:p>
            <w:pPr>
              <w:pStyle w:val="null3"/>
              <w:ind w:firstLine="560"/>
              <w:jc w:val="both"/>
            </w:pPr>
            <w:r>
              <w:rPr>
                <w:rFonts w:ascii="仿宋_GB2312" w:hAnsi="仿宋_GB2312" w:cs="仿宋_GB2312" w:eastAsia="仿宋_GB2312"/>
                <w:sz w:val="28"/>
              </w:rPr>
              <w:t>根据党的会议精神，</w:t>
            </w:r>
            <w:r>
              <w:rPr>
                <w:rFonts w:ascii="仿宋_GB2312" w:hAnsi="仿宋_GB2312" w:cs="仿宋_GB2312" w:eastAsia="仿宋_GB2312"/>
                <w:sz w:val="28"/>
              </w:rPr>
              <w:t>全面推进乡村振兴作出了新部署，明确提出坚持农业农村优先发展，建设宜居宜业和美乡村。富平县农业资源、生态资源丰富，文化资源独特，具备发展农文旅融合产业的良好基础。当前，乡村旅游发展面临产业形态杂、经营信息散乱、个体规模小、标准化程度低等问题，亟需通过数字化手段整合资源、提升服务能力。</w:t>
            </w:r>
          </w:p>
          <w:p>
            <w:pPr>
              <w:pStyle w:val="null3"/>
              <w:ind w:firstLine="560"/>
              <w:jc w:val="both"/>
            </w:pPr>
            <w:r>
              <w:rPr>
                <w:rFonts w:ascii="仿宋_GB2312" w:hAnsi="仿宋_GB2312" w:cs="仿宋_GB2312" w:eastAsia="仿宋_GB2312"/>
                <w:sz w:val="28"/>
              </w:rPr>
              <w:t>在此背景下，富平县拟通过建设</w:t>
            </w:r>
            <w:r>
              <w:rPr>
                <w:rFonts w:ascii="仿宋_GB2312" w:hAnsi="仿宋_GB2312" w:cs="仿宋_GB2312" w:eastAsia="仿宋_GB2312"/>
                <w:sz w:val="28"/>
              </w:rPr>
              <w:t>“向村行”农文旅特色业态综合服务平台，整合县域内乡村旅游资源，推动农业、农村与文旅深度融合，促进城乡互动，带动农民增收致富，助力乡村全面振兴。</w:t>
            </w:r>
          </w:p>
          <w:p>
            <w:pPr>
              <w:pStyle w:val="null3"/>
              <w:ind w:firstLine="560"/>
              <w:jc w:val="both"/>
            </w:pPr>
            <w:r>
              <w:rPr>
                <w:rFonts w:ascii="仿宋_GB2312" w:hAnsi="仿宋_GB2312" w:cs="仿宋_GB2312" w:eastAsia="仿宋_GB2312"/>
                <w:sz w:val="28"/>
              </w:rPr>
              <w:t>二、项目简介</w:t>
            </w:r>
          </w:p>
          <w:p>
            <w:pPr>
              <w:pStyle w:val="null3"/>
              <w:ind w:firstLine="560"/>
              <w:jc w:val="both"/>
            </w:pPr>
            <w:r>
              <w:rPr>
                <w:rFonts w:ascii="仿宋_GB2312" w:hAnsi="仿宋_GB2312" w:cs="仿宋_GB2312" w:eastAsia="仿宋_GB2312"/>
                <w:sz w:val="28"/>
              </w:rPr>
              <w:t>本项目旨在建设一个集信息展示、在线预订、互动分享、路线推荐、数据分析等功能于一体的农文旅综合服务平台</w:t>
            </w:r>
            <w:r>
              <w:rPr>
                <w:rFonts w:ascii="仿宋_GB2312" w:hAnsi="仿宋_GB2312" w:cs="仿宋_GB2312" w:eastAsia="仿宋_GB2312"/>
                <w:sz w:val="28"/>
              </w:rPr>
              <w:t>——“向村行”。平台将以微信、支付宝小程序为载体，整合富平县内亲子乐园、观光游玩、休闲采摘、民宿旅居、乡野露营、特色村落、精品线路、非遗项目等资源，打造一站式乡村旅游服务门户。</w:t>
            </w:r>
          </w:p>
          <w:p>
            <w:pPr>
              <w:pStyle w:val="null3"/>
              <w:ind w:firstLine="560"/>
              <w:jc w:val="both"/>
            </w:pPr>
            <w:r>
              <w:rPr>
                <w:rFonts w:ascii="仿宋_GB2312" w:hAnsi="仿宋_GB2312" w:cs="仿宋_GB2312" w:eastAsia="仿宋_GB2312"/>
                <w:sz w:val="28"/>
              </w:rPr>
              <w:t>项目由富平县农业农村局牵头，采用政企共建模式，由杭州向村乡创科技有限公司负责平台建设与运营服务，富平县负责资源整合、商家筛选及部分资金支持。</w:t>
            </w:r>
          </w:p>
          <w:p>
            <w:pPr>
              <w:pStyle w:val="null3"/>
              <w:ind w:firstLine="560"/>
              <w:jc w:val="both"/>
            </w:pPr>
            <w:r>
              <w:rPr>
                <w:rFonts w:ascii="仿宋_GB2312" w:hAnsi="仿宋_GB2312" w:cs="仿宋_GB2312" w:eastAsia="仿宋_GB2312"/>
                <w:sz w:val="28"/>
              </w:rPr>
              <w:t>三、技术服务要求及内容</w:t>
            </w:r>
          </w:p>
          <w:p>
            <w:pPr>
              <w:pStyle w:val="null3"/>
              <w:ind w:firstLine="560"/>
              <w:jc w:val="both"/>
            </w:pPr>
            <w:r>
              <w:rPr>
                <w:rFonts w:ascii="仿宋_GB2312" w:hAnsi="仿宋_GB2312" w:cs="仿宋_GB2312" w:eastAsia="仿宋_GB2312"/>
                <w:sz w:val="28"/>
              </w:rPr>
              <w:t>1. 平台建设要求</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开发</w:t>
            </w:r>
            <w:r>
              <w:rPr>
                <w:rFonts w:ascii="仿宋_GB2312" w:hAnsi="仿宋_GB2312" w:cs="仿宋_GB2312" w:eastAsia="仿宋_GB2312"/>
                <w:sz w:val="28"/>
              </w:rPr>
              <w:t>“</w:t>
            </w:r>
            <w:r>
              <w:rPr>
                <w:rFonts w:ascii="仿宋_GB2312" w:hAnsi="仿宋_GB2312" w:cs="仿宋_GB2312" w:eastAsia="仿宋_GB2312"/>
                <w:sz w:val="28"/>
              </w:rPr>
              <w:t>富平</w:t>
            </w:r>
            <w:r>
              <w:rPr>
                <w:rFonts w:ascii="仿宋_GB2312" w:hAnsi="仿宋_GB2312" w:cs="仿宋_GB2312" w:eastAsia="仿宋_GB2312"/>
                <w:sz w:val="28"/>
              </w:rPr>
              <w:t>向村行</w:t>
            </w:r>
            <w:r>
              <w:rPr>
                <w:rFonts w:ascii="仿宋_GB2312" w:hAnsi="仿宋_GB2312" w:cs="仿宋_GB2312" w:eastAsia="仿宋_GB2312"/>
                <w:sz w:val="28"/>
              </w:rPr>
              <w:t>”微信、支付宝小程序，支持用户在线搜索、查看详情、预约、导航、评价、分享等功能；</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建设政府管理后台，支持商家审核、内容管理、订单监管、消费券发放、数据统计等功能；</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建设商家运营后台，支持商品管理、订单处理、评价回复等功能；</w:t>
            </w:r>
          </w:p>
          <w:p>
            <w:pPr>
              <w:pStyle w:val="null3"/>
              <w:ind w:firstLine="560"/>
              <w:jc w:val="both"/>
            </w:pPr>
            <w:r>
              <w:rPr>
                <w:rFonts w:ascii="仿宋_GB2312" w:hAnsi="仿宋_GB2312" w:cs="仿宋_GB2312" w:eastAsia="仿宋_GB2312"/>
                <w:sz w:val="28"/>
              </w:rPr>
              <w:t>④</w:t>
            </w:r>
            <w:r>
              <w:rPr>
                <w:rFonts w:ascii="仿宋_GB2312" w:hAnsi="仿宋_GB2312" w:cs="仿宋_GB2312" w:eastAsia="仿宋_GB2312"/>
                <w:sz w:val="28"/>
              </w:rPr>
              <w:t>平台需具备良好的扩展性、安全性和稳定性，支持后续功能升级与接口对接。</w:t>
            </w:r>
          </w:p>
          <w:p>
            <w:pPr>
              <w:pStyle w:val="null3"/>
              <w:ind w:firstLine="560"/>
              <w:jc w:val="both"/>
            </w:pPr>
            <w:r>
              <w:rPr>
                <w:rFonts w:ascii="仿宋_GB2312" w:hAnsi="仿宋_GB2312" w:cs="仿宋_GB2312" w:eastAsia="仿宋_GB2312"/>
                <w:sz w:val="28"/>
              </w:rPr>
              <w:t>2. 运营服务要求</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完成</w:t>
            </w:r>
            <w:r>
              <w:rPr>
                <w:rFonts w:ascii="仿宋_GB2312" w:hAnsi="仿宋_GB2312" w:cs="仿宋_GB2312" w:eastAsia="仿宋_GB2312"/>
                <w:sz w:val="28"/>
              </w:rPr>
              <w:t>60个</w:t>
            </w:r>
            <w:r>
              <w:rPr>
                <w:rFonts w:ascii="仿宋_GB2312" w:hAnsi="仿宋_GB2312" w:cs="仿宋_GB2312" w:eastAsia="仿宋_GB2312"/>
                <w:sz w:val="28"/>
              </w:rPr>
              <w:t>以上</w:t>
            </w:r>
            <w:r>
              <w:rPr>
                <w:rFonts w:ascii="仿宋_GB2312" w:hAnsi="仿宋_GB2312" w:cs="仿宋_GB2312" w:eastAsia="仿宋_GB2312"/>
                <w:sz w:val="28"/>
              </w:rPr>
              <w:t>特色业态商家的线上化入驻，包括信息采集、图文拍摄、内容编辑、商品上架等；</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策划并发布</w:t>
            </w:r>
            <w:r>
              <w:rPr>
                <w:rFonts w:ascii="仿宋_GB2312" w:hAnsi="仿宋_GB2312" w:cs="仿宋_GB2312" w:eastAsia="仿宋_GB2312"/>
                <w:sz w:val="28"/>
              </w:rPr>
              <w:t>3-</w:t>
            </w:r>
            <w:r>
              <w:rPr>
                <w:rFonts w:ascii="仿宋_GB2312" w:hAnsi="仿宋_GB2312" w:cs="仿宋_GB2312" w:eastAsia="仿宋_GB2312"/>
                <w:sz w:val="28"/>
              </w:rPr>
              <w:t>5条不同主题、不同季节的乡村旅游精品路线；</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打造至少</w:t>
            </w:r>
            <w:r>
              <w:rPr>
                <w:rFonts w:ascii="仿宋_GB2312" w:hAnsi="仿宋_GB2312" w:cs="仿宋_GB2312" w:eastAsia="仿宋_GB2312"/>
                <w:sz w:val="28"/>
              </w:rPr>
              <w:t>1个样板村或重点商家，提供形象策划、文化包装、媒体宣传等支持；</w:t>
            </w:r>
          </w:p>
          <w:p>
            <w:pPr>
              <w:pStyle w:val="null3"/>
              <w:ind w:firstLine="560"/>
              <w:jc w:val="both"/>
            </w:pPr>
            <w:r>
              <w:rPr>
                <w:rFonts w:ascii="仿宋_GB2312" w:hAnsi="仿宋_GB2312" w:cs="仿宋_GB2312" w:eastAsia="仿宋_GB2312"/>
                <w:sz w:val="28"/>
              </w:rPr>
              <w:t>④</w:t>
            </w:r>
            <w:r>
              <w:rPr>
                <w:rFonts w:ascii="仿宋_GB2312" w:hAnsi="仿宋_GB2312" w:cs="仿宋_GB2312" w:eastAsia="仿宋_GB2312"/>
                <w:sz w:val="28"/>
              </w:rPr>
              <w:t>开展商家培训，提升其数字化经营能力，形成一套商家运营指导手册；</w:t>
            </w:r>
          </w:p>
          <w:p>
            <w:pPr>
              <w:pStyle w:val="null3"/>
              <w:ind w:firstLine="560"/>
              <w:jc w:val="both"/>
            </w:pPr>
            <w:r>
              <w:rPr>
                <w:rFonts w:ascii="仿宋_GB2312" w:hAnsi="仿宋_GB2312" w:cs="仿宋_GB2312" w:eastAsia="仿宋_GB2312"/>
                <w:sz w:val="28"/>
              </w:rPr>
              <w:t>⑤</w:t>
            </w:r>
            <w:r>
              <w:rPr>
                <w:rFonts w:ascii="仿宋_GB2312" w:hAnsi="仿宋_GB2312" w:cs="仿宋_GB2312" w:eastAsia="仿宋_GB2312"/>
                <w:sz w:val="28"/>
              </w:rPr>
              <w:t>提供全年内容更新、订单处理、用户互动等日常运营服务；</w:t>
            </w:r>
          </w:p>
          <w:p>
            <w:pPr>
              <w:pStyle w:val="null3"/>
              <w:ind w:firstLine="560"/>
              <w:jc w:val="both"/>
            </w:pPr>
            <w:r>
              <w:rPr>
                <w:rFonts w:ascii="仿宋_GB2312" w:hAnsi="仿宋_GB2312" w:cs="仿宋_GB2312" w:eastAsia="仿宋_GB2312"/>
                <w:sz w:val="28"/>
              </w:rPr>
              <w:t>⑥</w:t>
            </w:r>
            <w:r>
              <w:rPr>
                <w:rFonts w:ascii="仿宋_GB2312" w:hAnsi="仿宋_GB2312" w:cs="仿宋_GB2312" w:eastAsia="仿宋_GB2312"/>
                <w:sz w:val="28"/>
              </w:rPr>
              <w:t>组织至少</w:t>
            </w:r>
            <w:r>
              <w:rPr>
                <w:rFonts w:ascii="仿宋_GB2312" w:hAnsi="仿宋_GB2312" w:cs="仿宋_GB2312" w:eastAsia="仿宋_GB2312"/>
                <w:sz w:val="28"/>
              </w:rPr>
              <w:t>1场线下推广活动，如乡村研学、亲子游推广等；</w:t>
            </w:r>
          </w:p>
          <w:p>
            <w:pPr>
              <w:pStyle w:val="null3"/>
              <w:ind w:firstLine="560"/>
              <w:jc w:val="both"/>
            </w:pPr>
            <w:r>
              <w:rPr>
                <w:rFonts w:ascii="仿宋_GB2312" w:hAnsi="仿宋_GB2312" w:cs="仿宋_GB2312" w:eastAsia="仿宋_GB2312"/>
                <w:sz w:val="28"/>
              </w:rPr>
              <w:t>⑦</w:t>
            </w:r>
            <w:r>
              <w:rPr>
                <w:rFonts w:ascii="仿宋_GB2312" w:hAnsi="仿宋_GB2312" w:cs="仿宋_GB2312" w:eastAsia="仿宋_GB2312"/>
                <w:sz w:val="28"/>
              </w:rPr>
              <w:t>配合政府消费券发放与核销工作；</w:t>
            </w:r>
          </w:p>
          <w:p>
            <w:pPr>
              <w:pStyle w:val="null3"/>
              <w:ind w:firstLine="560"/>
              <w:jc w:val="both"/>
            </w:pPr>
            <w:r>
              <w:rPr>
                <w:rFonts w:ascii="仿宋_GB2312" w:hAnsi="仿宋_GB2312" w:cs="仿宋_GB2312" w:eastAsia="仿宋_GB2312"/>
                <w:sz w:val="28"/>
              </w:rPr>
              <w:t>⑧</w:t>
            </w:r>
            <w:r>
              <w:rPr>
                <w:rFonts w:ascii="仿宋_GB2312" w:hAnsi="仿宋_GB2312" w:cs="仿宋_GB2312" w:eastAsia="仿宋_GB2312"/>
                <w:sz w:val="28"/>
              </w:rPr>
              <w:t>提供运营数据分析报告，支持政府决策与政策优化。</w:t>
            </w:r>
          </w:p>
          <w:p>
            <w:pPr>
              <w:pStyle w:val="null3"/>
              <w:ind w:firstLine="560"/>
              <w:jc w:val="both"/>
            </w:pPr>
            <w:r>
              <w:rPr>
                <w:rFonts w:ascii="仿宋_GB2312" w:hAnsi="仿宋_GB2312" w:cs="仿宋_GB2312" w:eastAsia="仿宋_GB2312"/>
                <w:sz w:val="28"/>
              </w:rPr>
              <w:t>3. 宣传推广要求</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结合平台运营，撰写并发布不少于</w:t>
            </w:r>
            <w:r>
              <w:rPr>
                <w:rFonts w:ascii="仿宋_GB2312" w:hAnsi="仿宋_GB2312" w:cs="仿宋_GB2312" w:eastAsia="仿宋_GB2312"/>
                <w:sz w:val="28"/>
              </w:rPr>
              <w:t>10篇多渠道宣传内容；</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在省级、市级媒体各发布不少于</w:t>
            </w:r>
            <w:r>
              <w:rPr>
                <w:rFonts w:ascii="仿宋_GB2312" w:hAnsi="仿宋_GB2312" w:cs="仿宋_GB2312" w:eastAsia="仿宋_GB2312"/>
                <w:sz w:val="28"/>
              </w:rPr>
              <w:t>1篇宣传报道，区县级媒体若干篇；</w:t>
            </w:r>
          </w:p>
          <w:p>
            <w:pPr>
              <w:pStyle w:val="null3"/>
              <w:ind w:firstLine="560"/>
              <w:jc w:val="both"/>
            </w:pPr>
            <w:r>
              <w:rPr>
                <w:rFonts w:ascii="仿宋_GB2312" w:hAnsi="仿宋_GB2312" w:cs="仿宋_GB2312" w:eastAsia="仿宋_GB2312"/>
                <w:sz w:val="28"/>
              </w:rPr>
              <w:t>四、商务履约要求</w:t>
            </w:r>
          </w:p>
          <w:p>
            <w:pPr>
              <w:pStyle w:val="null3"/>
              <w:ind w:firstLine="560"/>
              <w:jc w:val="both"/>
            </w:pPr>
            <w:r>
              <w:rPr>
                <w:rFonts w:ascii="仿宋_GB2312" w:hAnsi="仿宋_GB2312" w:cs="仿宋_GB2312" w:eastAsia="仿宋_GB2312"/>
                <w:sz w:val="28"/>
              </w:rPr>
              <w:t>1. 服务期限</w:t>
            </w:r>
          </w:p>
          <w:p>
            <w:pPr>
              <w:pStyle w:val="null3"/>
              <w:ind w:firstLine="560"/>
              <w:jc w:val="both"/>
            </w:pPr>
            <w:r>
              <w:rPr>
                <w:rFonts w:ascii="仿宋_GB2312" w:hAnsi="仿宋_GB2312" w:cs="仿宋_GB2312" w:eastAsia="仿宋_GB2312"/>
                <w:sz w:val="28"/>
              </w:rPr>
              <w:t>项目服务期为</w:t>
            </w:r>
            <w:r>
              <w:rPr>
                <w:rFonts w:ascii="仿宋_GB2312" w:hAnsi="仿宋_GB2312" w:cs="仿宋_GB2312" w:eastAsia="仿宋_GB2312"/>
                <w:sz w:val="28"/>
              </w:rPr>
              <w:t>3个月</w:t>
            </w:r>
            <w:r>
              <w:rPr>
                <w:rFonts w:ascii="仿宋_GB2312" w:hAnsi="仿宋_GB2312" w:cs="仿宋_GB2312" w:eastAsia="仿宋_GB2312"/>
                <w:sz w:val="28"/>
              </w:rPr>
              <w:t>，包含平台建设、内容上线、运营推广、数据服务等全流程工作。</w:t>
            </w:r>
          </w:p>
          <w:p>
            <w:pPr>
              <w:pStyle w:val="null3"/>
              <w:ind w:firstLine="560"/>
              <w:jc w:val="both"/>
            </w:pPr>
            <w:r>
              <w:rPr>
                <w:rFonts w:ascii="仿宋_GB2312" w:hAnsi="仿宋_GB2312" w:cs="仿宋_GB2312" w:eastAsia="仿宋_GB2312"/>
                <w:sz w:val="28"/>
              </w:rPr>
              <w:t>2.服务地点：渭南市富平县（具体地点由采购人指定）</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 质量标准</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平台功能完整、运行稳定，符合国家信息系统安全相关标准；</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内容采集真实、准确、丰富，符合富平县乡村实际；</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运营服务及时、专业，商家满意度不低于</w:t>
            </w:r>
            <w:r>
              <w:rPr>
                <w:rFonts w:ascii="仿宋_GB2312" w:hAnsi="仿宋_GB2312" w:cs="仿宋_GB2312" w:eastAsia="仿宋_GB2312"/>
                <w:sz w:val="28"/>
              </w:rPr>
              <w:t>90%；</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 验收要求</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项目分阶段验收，包括平台上线验收、内容完成验收、运营中期验收、项目终期验收；</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验收标准包括：平台功能实现情况、商家入驻数量、内容发布数量、路线策划数量、培训完成情况、商家反馈等；</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项目终期需提交完整的运营总结报告、数据分析报告、商家培训档案、用户反馈记录等材料。</w:t>
            </w:r>
          </w:p>
          <w:p>
            <w:pPr>
              <w:pStyle w:val="null3"/>
              <w:ind w:firstLine="560"/>
              <w:jc w:val="both"/>
            </w:pPr>
            <w:r>
              <w:rPr>
                <w:rFonts w:ascii="仿宋_GB2312" w:hAnsi="仿宋_GB2312" w:cs="仿宋_GB2312" w:eastAsia="仿宋_GB2312"/>
                <w:sz w:val="28"/>
              </w:rPr>
              <w:t>5.付款方式：银行转账，待本项目全部建设完成并完成验收后，一次性支付所有合同款项，具体以财政实际拨付情况为准。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供应商针对本项目组织响应的服务团队，保证项目的顺利实施。</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具备本项目技术服务所需的软件著作版权，提供相应的证明资料。供应商应保证采购人在中华人民共和国境内使用本项目所需服务平台的全部服务范围、技术资料、相关服务或其任何一部分时，享有不受限制的无偿使用权，不会产生因第三方提出侵犯其专利权、商标权或其它知识产权而引起的法律和经济纠纷；如果供应商不拥有相应的知识产权，则须在报价中包括合法获取该知识产权的相关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项目服务期为3个月，包含平台建设、内容上线、运营推广、数据服务等全流程工作。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渭南市富平县（具体地点由采购人指定）</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银行转账，待本项目全部建设完成并完成验收后，一次性支付所有合同款项，具体以财政实际拨付情况为准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①项目分阶段验收，包括平台上线验收、内容完成验收、运营中期验收、项目终期验收； ②验收标准包括：平台功能实现情况、商家入驻数量、内容发布数量、路线策划数量、培训完成情况、商家反馈等； ③项目终期需提交完整的运营总结报告、数据分析报告、商家培训档案、用户反馈记录等材料。</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本项目依据《中华人民共和国民法典》、《中华人民共和国政府采购法》及其他有关法律、行政法规，遵循平等、自愿、 公平和诚实信用的原则。 双方当事人约定，在履行合同过程中产生争议时： （1）请合同主管部门调解； （2）合同争议调解不成的，依法向西安 市雁塔区人民法院提起诉讼。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专门面向中小微企业采购，仅限符合《政府采购促进中小企业发展管理办法》（财库〔2020〕46号）条件的企业参与，供应商应填写中小企业声明函并对真实性负责（残疾人福利性单位及监狱企业视同为小型、微型企业）。 2、本项目采购包1采购标的所属行业为：软件和信息技术服务业。（按照《工信部、国家统计局、发改委、财政部、工信部联企业》中小企业划型标准（〔2011〕300号）规定：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资质证明文件.docx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法定代表人直接投标须提交法定代表人身份证明书，法定代表人授权代表参加投标的，须出具授权书及被授权人身份证复印件，供应商需在项目电子化交易系统中按要求上传相应证明文件并进行电子签章；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资质证明文件.docx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残疾人福利性单位声明函 标的清单 响应函 资质证明文件.docx 服务方案.docx 监狱企业的证明文件 业绩响应表.docx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商务应答表 标的清单 报价表 响应函 资质证明文件.docx 服务方案.docx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响应文件中签字、盖章是否有效，是否符合招标文件要求；</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残疾人福利性单位声明函 标的清单 响应函 资质证明文件.docx 服务方案.docx 监狱企业的证明文件 业绩响应表.docx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响应文件内容齐全，无重大缺漏项；</w:t>
            </w:r>
          </w:p>
        </w:tc>
        <w:tc>
          <w:tcPr>
            <w:tcW w:type="dxa" w:w="1661"/>
          </w:tcPr>
          <w:p>
            <w:pPr>
              <w:pStyle w:val="null3"/>
            </w:pPr>
            <w:r>
              <w:rPr>
                <w:rFonts w:ascii="仿宋_GB2312" w:hAnsi="仿宋_GB2312" w:cs="仿宋_GB2312" w:eastAsia="仿宋_GB2312"/>
              </w:rPr>
              <w:t>响应文件封面 服务内容及服务邀请应答表 中小企业声明函 商务应答表 标的清单 报价表 响应函 资质证明文件.docx 服务方案.docx 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供应商不得提交选择性报价，只有一个有效报价，且报价不超过采购预算或最高限价；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详见附件：业绩响应表.docx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