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版本号：SXLH-HC-2025-00920251128001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韩城市镇村生活垃圾收运体系建设及运营政府购买服务项目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SXLH-HC-2025-009</w:t>
      </w:r>
      <w:r>
        <w:br/>
      </w:r>
      <w:r>
        <w:br/>
      </w:r>
      <w:r>
        <w:br/>
      </w:r>
    </w:p>
    <w:p>
      <w:pPr>
        <w:pStyle w:val="null3"/>
        <w:jc w:val="center"/>
        <w:outlineLvl w:val="2"/>
      </w:pPr>
      <w:r>
        <w:rPr>
          <w:rFonts w:ascii="仿宋_GB2312" w:hAnsi="仿宋_GB2312" w:cs="仿宋_GB2312" w:eastAsia="仿宋_GB2312"/>
          <w:sz w:val="28"/>
          <w:b/>
        </w:rPr>
        <w:t>韩城市城市管理执法局</w:t>
      </w:r>
    </w:p>
    <w:p>
      <w:pPr>
        <w:pStyle w:val="null3"/>
        <w:jc w:val="center"/>
        <w:outlineLvl w:val="2"/>
      </w:pPr>
      <w:r>
        <w:rPr>
          <w:rFonts w:ascii="仿宋_GB2312" w:hAnsi="仿宋_GB2312" w:cs="仿宋_GB2312" w:eastAsia="仿宋_GB2312"/>
          <w:sz w:val="28"/>
          <w:b/>
        </w:rPr>
        <w:t>陕西翎海项目管理有限公司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陕西翎海项目管理有限公司</w:t>
      </w:r>
      <w:r>
        <w:rPr>
          <w:rFonts w:ascii="仿宋_GB2312" w:hAnsi="仿宋_GB2312" w:cs="仿宋_GB2312" w:eastAsia="仿宋_GB2312"/>
        </w:rPr>
        <w:t>（以下简称“代理机构”）受</w:t>
      </w:r>
      <w:r>
        <w:rPr>
          <w:rFonts w:ascii="仿宋_GB2312" w:hAnsi="仿宋_GB2312" w:cs="仿宋_GB2312" w:eastAsia="仿宋_GB2312"/>
        </w:rPr>
        <w:t>韩城市城市管理执法局</w:t>
      </w:r>
      <w:r>
        <w:rPr>
          <w:rFonts w:ascii="仿宋_GB2312" w:hAnsi="仿宋_GB2312" w:cs="仿宋_GB2312" w:eastAsia="仿宋_GB2312"/>
        </w:rPr>
        <w:t>委托，拟对</w:t>
      </w:r>
      <w:r>
        <w:rPr>
          <w:rFonts w:ascii="仿宋_GB2312" w:hAnsi="仿宋_GB2312" w:cs="仿宋_GB2312" w:eastAsia="仿宋_GB2312"/>
        </w:rPr>
        <w:t>韩城市镇村生活垃圾收运体系建设及运营政府购买服务项目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SXLH-HC-2025-009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韩城市镇村生活垃圾收运体系建设及运营政府购买服务项目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由获得政府购买服务运营权的第三方公司，根据《韩城市城乡生活垃圾收运处置体系规划（2021-2035）》《韩城市镇村生活垃圾调度中心建设规划》等，负责配备满足收运需要各类生活垃圾收运车辆（其中新能源车辆占比不低于50%）和生活垃圾桶（箱）；代建并运营韩城市镇村生活垃圾收运调度中心；负责将韩城市市域范围内镇（办）村（居委会）生活垃圾，由集中收集点收运至指定的生活垃圾压缩转运站，配合镇办开展非正规生活垃圾堆放点整治，实现全市自然村生活垃圾集中收运100%全覆盖</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1、主体资格：具有独立承担民事责任能力的法人、其它组织或自然人，出具合法有效的营业执照等相关证明文件，自然人参与的提供其身份证明</w:t>
      </w:r>
    </w:p>
    <w:p>
      <w:pPr>
        <w:pStyle w:val="null3"/>
      </w:pPr>
      <w:r>
        <w:rPr>
          <w:rFonts w:ascii="仿宋_GB2312" w:hAnsi="仿宋_GB2312" w:cs="仿宋_GB2312" w:eastAsia="仿宋_GB2312"/>
        </w:rPr>
        <w:t>2、财务状况：提供2022年至今任意一年完整的财务审计报告或开标时间前六个月内银行出具的资信证明，其他组织和自然人提供银行出具的资信证明</w:t>
      </w:r>
    </w:p>
    <w:p>
      <w:pPr>
        <w:pStyle w:val="null3"/>
      </w:pPr>
      <w:r>
        <w:rPr>
          <w:rFonts w:ascii="仿宋_GB2312" w:hAnsi="仿宋_GB2312" w:cs="仿宋_GB2312" w:eastAsia="仿宋_GB2312"/>
        </w:rPr>
        <w:t>3、社保缴纳：提供开标时间前六个月内至少一个月的社会保障资金缴存单据或社保机构开具的社会保险参保缴费情况证明，依法不需要缴纳社会保障资金的单位应提供相关证明材料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4、完税证明：提供开标时间前六个月内已缴纳的至少一个月的纳税证明或完税证明，依法免税的单位应提供相关证明材料</w:t>
      </w:r>
    </w:p>
    <w:p>
      <w:pPr>
        <w:pStyle w:val="null3"/>
      </w:pPr>
      <w:r>
        <w:rPr>
          <w:rFonts w:ascii="仿宋_GB2312" w:hAnsi="仿宋_GB2312" w:cs="仿宋_GB2312" w:eastAsia="仿宋_GB2312"/>
        </w:rPr>
        <w:t>5、信用信息：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以代理机构现场查询为准）</w:t>
      </w:r>
    </w:p>
    <w:p>
      <w:pPr>
        <w:pStyle w:val="null3"/>
      </w:pPr>
      <w:r>
        <w:rPr>
          <w:rFonts w:ascii="仿宋_GB2312" w:hAnsi="仿宋_GB2312" w:cs="仿宋_GB2312" w:eastAsia="仿宋_GB2312"/>
        </w:rPr>
        <w:t>6、履行合同所必须的设备和专业技术能力：提供具有履行合同所必需的设备和专业技术能力的承诺</w:t>
      </w:r>
    </w:p>
    <w:p>
      <w:pPr>
        <w:pStyle w:val="null3"/>
      </w:pPr>
      <w:r>
        <w:rPr>
          <w:rFonts w:ascii="仿宋_GB2312" w:hAnsi="仿宋_GB2312" w:cs="仿宋_GB2312" w:eastAsia="仿宋_GB2312"/>
        </w:rPr>
        <w:t>7、法定代表人授权委托书：法定代表人授权书（附法定代表人、被授权人身份证复印件）（法定代表人直接参加投标，须提供法定代表人身份证明书）</w:t>
      </w:r>
    </w:p>
    <w:p>
      <w:pPr>
        <w:pStyle w:val="null3"/>
      </w:pPr>
      <w:r>
        <w:rPr>
          <w:rFonts w:ascii="仿宋_GB2312" w:hAnsi="仿宋_GB2312" w:cs="仿宋_GB2312" w:eastAsia="仿宋_GB2312"/>
        </w:rPr>
        <w:t>8、特定资格条件：提供合法有效的生活垃圾经营性清扫、收集、运输服务许可证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韩城市城市管理执法局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陕西省韩城市新城区东二环新兴产业基地2号楼5楼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0913-5166363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陕西翎海项目管理有限公司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陕西省西安市灞桥区陕西省西安市灞桥区半坡国际广场6号楼1801室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齐敏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029-33116367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韩城市政府采购管理股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0913-8334929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中标单位在本项目采购合同签订前需向主管部门缴纳中标金额10%履约保证金以保证各类生活垃圾收运车辆（其中新能源车辆占比不低于50%）和生活垃圾桶（箱）两个月内配备到位，代建镇村生活垃圾调度中心及配套设施在规定期间完工。如超过两个月中标单位生活垃圾收运车辆和生活垃圾桶（箱）未配备到位，主管部门有权扣除履约保证金并终止合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发改办价格〔2003〕857号及发改价格〔2011〕534号文中规定的标准执行，按差额定率累进法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韩城市城市管理执法局</w:t>
      </w:r>
      <w:r>
        <w:rPr>
          <w:rFonts w:ascii="仿宋_GB2312" w:hAnsi="仿宋_GB2312" w:cs="仿宋_GB2312" w:eastAsia="仿宋_GB2312"/>
        </w:rPr>
        <w:t>和</w:t>
      </w:r>
      <w:r>
        <w:rPr>
          <w:rFonts w:ascii="仿宋_GB2312" w:hAnsi="仿宋_GB2312" w:cs="仿宋_GB2312" w:eastAsia="仿宋_GB2312"/>
        </w:rPr>
        <w:t>陕西翎海项目管理有限公司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韩城市城市管理执法局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陕西翎海项目管理有限公司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韩城市城市管理执法局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陕西翎海项目管理有限公司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采购人依据《韩城市镇村生活垃圾收集转运工作考核办法（试行）》对供应商进行考核1.考核结果为优秀、良好的，按合同约定全额支付考核月度服务费用，并可通报表扬。 2.考核结果为合格的，按合同约定支付考核月度服务费用，但需对存在问题限期整改到位。 3.考核结果为不合格（70分以下）的，根据合同约定，每低1分，扣减考核月度服务费用1%并不设下限；由市城市管理执法局下达限期整改通知书，逾期未整改或整改不到位的，可依据合同约定启动违约处理程序，直至解除服务合同。 4.对因管理不善、玩忽职守导致发生重大安全生产事故、重大环境污染事件或重大群体性事件，造成严重后果及恶劣影响的，考核月度直接评定为不合格，并由转运公司承担全部法律责任和经济责任。 5.转运公司年度综合考核评定为合格及以上的，续签下一年度服务合同；如连续3个月或年度内累计6个月考核不合格，主管部门有权依据合同约定解除服务合同，重新实施招标。</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陕西翎海项目管理有限公司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陕西翎海项目管理有限公司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陕西翎海项目管理有限公司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联系人：齐敏</w:t>
      </w:r>
    </w:p>
    <w:p>
      <w:pPr>
        <w:pStyle w:val="null3"/>
      </w:pPr>
      <w:r>
        <w:rPr>
          <w:rFonts w:ascii="仿宋_GB2312" w:hAnsi="仿宋_GB2312" w:cs="仿宋_GB2312" w:eastAsia="仿宋_GB2312"/>
        </w:rPr>
        <w:t>联系电话：029-33110767</w:t>
      </w:r>
    </w:p>
    <w:p>
      <w:pPr>
        <w:pStyle w:val="null3"/>
      </w:pPr>
      <w:r>
        <w:rPr>
          <w:rFonts w:ascii="仿宋_GB2312" w:hAnsi="仿宋_GB2312" w:cs="仿宋_GB2312" w:eastAsia="仿宋_GB2312"/>
        </w:rPr>
        <w:t>地址：陕西省西安市灞桥区陕西省西安市灞桥区半坡国际广场6号楼1801室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由获得政府购买服务运营权的第三方公司，根据《韩城市城乡生活垃圾收运处置体系规划（2021-2035）》《韩城市镇村生活垃圾调度中心建设规划》等，负责配备满足收运需要各类生活垃圾收运车辆（其中新能源车辆占比不低于50%）和生活垃圾桶（箱）；代建并运营韩城市镇村生活垃圾收运调度中心；负责将韩城市市域范围内镇（办）村（居委会）生活垃圾，由集中收集点收运至指定的生活垃圾压缩转运站，配合镇办开展非正规生活垃圾堆放点整治，实现全市自然村生活垃圾集中收运100%全覆盖</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15,000,000.00</w:t>
      </w:r>
    </w:p>
    <w:p>
      <w:pPr>
        <w:pStyle w:val="null3"/>
      </w:pPr>
      <w:r>
        <w:rPr>
          <w:rFonts w:ascii="仿宋_GB2312" w:hAnsi="仿宋_GB2312" w:cs="仿宋_GB2312" w:eastAsia="仿宋_GB2312"/>
        </w:rPr>
        <w:t>采购包最高限价（元）: 15,000,000.00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韩城市镇村生活垃圾收运体系建设及运营政府购买服务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标的名称：韩城市镇村生活垃圾收运体系建设及运营政府购买服务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b/>
              </w:rPr>
              <w:t>韩城市镇村生活垃圾收运体系建设及运营项目政府购买服务工作方案</w:t>
            </w:r>
          </w:p>
          <w:p>
            <w:pPr>
              <w:pStyle w:val="null3"/>
              <w:ind w:firstLine="420"/>
              <w:jc w:val="both"/>
            </w:pPr>
            <w:r>
              <w:rPr>
                <w:rFonts w:ascii="仿宋_GB2312" w:hAnsi="仿宋_GB2312" w:cs="仿宋_GB2312" w:eastAsia="仿宋_GB2312"/>
                <w:sz w:val="21"/>
              </w:rPr>
              <w:t>为了进一步加强全市镇村生活垃圾收运工作，有效解决我市农村生活垃圾收运设施设备陈旧且数量不足、集中收运覆盖不全面等问题，建立</w:t>
            </w:r>
            <w:r>
              <w:rPr>
                <w:rFonts w:ascii="仿宋_GB2312" w:hAnsi="仿宋_GB2312" w:cs="仿宋_GB2312" w:eastAsia="仿宋_GB2312"/>
                <w:sz w:val="21"/>
              </w:rPr>
              <w:t>“覆盖全面，收运及时，环保卫生，处置规范”的镇村生活垃圾收集体系，充分发挥财政资金保障民生效益，助力美丽乡村建设，根据《中华人民共和国政府采购法》《政府购买服务管理办法》《关于进一步加强农村生活垃圾收运处置体系建设管理的通知》，现就韩城市镇村生活垃圾收运体系建设及运营项目政府购买服务，制定如下工作方案。</w:t>
            </w:r>
          </w:p>
          <w:p>
            <w:pPr>
              <w:pStyle w:val="null3"/>
              <w:ind w:firstLine="420"/>
              <w:jc w:val="both"/>
            </w:pPr>
            <w:r>
              <w:rPr>
                <w:rFonts w:ascii="仿宋_GB2312" w:hAnsi="仿宋_GB2312" w:cs="仿宋_GB2312" w:eastAsia="仿宋_GB2312"/>
                <w:sz w:val="21"/>
              </w:rPr>
              <w:t>一、项目名称</w:t>
            </w:r>
          </w:p>
          <w:p>
            <w:pPr>
              <w:pStyle w:val="null3"/>
              <w:ind w:firstLine="420"/>
              <w:jc w:val="both"/>
            </w:pPr>
            <w:r>
              <w:rPr>
                <w:rFonts w:ascii="仿宋_GB2312" w:hAnsi="仿宋_GB2312" w:cs="仿宋_GB2312" w:eastAsia="仿宋_GB2312"/>
                <w:sz w:val="21"/>
              </w:rPr>
              <w:t>韩城市镇村生活垃圾收运体系建设及运营政府购买服务项目。</w:t>
            </w:r>
          </w:p>
          <w:p>
            <w:pPr>
              <w:pStyle w:val="null3"/>
              <w:ind w:firstLine="420"/>
              <w:jc w:val="both"/>
            </w:pPr>
            <w:r>
              <w:rPr>
                <w:rFonts w:ascii="仿宋_GB2312" w:hAnsi="仿宋_GB2312" w:cs="仿宋_GB2312" w:eastAsia="仿宋_GB2312"/>
                <w:sz w:val="21"/>
              </w:rPr>
              <w:t>二、服务方式</w:t>
            </w:r>
          </w:p>
          <w:p>
            <w:pPr>
              <w:pStyle w:val="null3"/>
              <w:ind w:firstLine="420"/>
              <w:jc w:val="both"/>
            </w:pPr>
            <w:r>
              <w:rPr>
                <w:rFonts w:ascii="仿宋_GB2312" w:hAnsi="仿宋_GB2312" w:cs="仿宋_GB2312" w:eastAsia="仿宋_GB2312"/>
                <w:sz w:val="21"/>
              </w:rPr>
              <w:t>采取政府购买服务方式市场化运营。</w:t>
            </w:r>
          </w:p>
          <w:p>
            <w:pPr>
              <w:pStyle w:val="null3"/>
              <w:ind w:firstLine="420"/>
              <w:jc w:val="both"/>
            </w:pPr>
            <w:r>
              <w:rPr>
                <w:rFonts w:ascii="仿宋_GB2312" w:hAnsi="仿宋_GB2312" w:cs="仿宋_GB2312" w:eastAsia="仿宋_GB2312"/>
                <w:sz w:val="21"/>
              </w:rPr>
              <w:t>三、服务周期</w:t>
            </w:r>
          </w:p>
          <w:p>
            <w:pPr>
              <w:pStyle w:val="null3"/>
              <w:ind w:firstLine="420"/>
              <w:jc w:val="both"/>
            </w:pPr>
            <w:r>
              <w:rPr>
                <w:rFonts w:ascii="仿宋_GB2312" w:hAnsi="仿宋_GB2312" w:cs="仿宋_GB2312" w:eastAsia="仿宋_GB2312"/>
                <w:sz w:val="21"/>
              </w:rPr>
              <w:t>生活垃圾收集车辆及收集设施采购、镇村生活垃圾调度中心及配套设施建设需要运营公司投资且额度较大，借鉴各地成功案例，委托服务周期采用</w:t>
            </w:r>
            <w:r>
              <w:rPr>
                <w:rFonts w:ascii="仿宋_GB2312" w:hAnsi="仿宋_GB2312" w:cs="仿宋_GB2312" w:eastAsia="仿宋_GB2312"/>
                <w:sz w:val="21"/>
              </w:rPr>
              <w:t>3+2（年）模式较为合理合法，即：先与中标运营方签订3年期的政府购买服务合同，三年服务期满后，如果运营方在全周期考核合格，且双方相关事项无争议，达到预期运营效果后，经主管部门报市政府批准同意，可以续签两年合同，服务费用按第一次政府购买服务招标中标单价续签。</w:t>
            </w:r>
          </w:p>
          <w:p>
            <w:pPr>
              <w:pStyle w:val="null3"/>
              <w:ind w:firstLine="420"/>
              <w:jc w:val="both"/>
            </w:pPr>
            <w:r>
              <w:rPr>
                <w:rFonts w:ascii="仿宋_GB2312" w:hAnsi="仿宋_GB2312" w:cs="仿宋_GB2312" w:eastAsia="仿宋_GB2312"/>
                <w:sz w:val="21"/>
              </w:rPr>
              <w:t>四、项目内容</w:t>
            </w:r>
          </w:p>
          <w:p>
            <w:pPr>
              <w:pStyle w:val="null3"/>
              <w:ind w:firstLine="420"/>
              <w:jc w:val="both"/>
            </w:pPr>
            <w:r>
              <w:rPr>
                <w:rFonts w:ascii="仿宋_GB2312" w:hAnsi="仿宋_GB2312" w:cs="仿宋_GB2312" w:eastAsia="仿宋_GB2312"/>
                <w:sz w:val="21"/>
              </w:rPr>
              <w:t>由获得政府购买服务运营权的第三方公司，根据《韩城市城乡生活垃圾收运处置体系规划（</w:t>
            </w:r>
            <w:r>
              <w:rPr>
                <w:rFonts w:ascii="仿宋_GB2312" w:hAnsi="仿宋_GB2312" w:cs="仿宋_GB2312" w:eastAsia="仿宋_GB2312"/>
                <w:sz w:val="21"/>
              </w:rPr>
              <w:t>2021-2035）》《韩城市镇村生活垃圾调度中心建设规划》等，负责配备满足收运需要各类生活垃圾收运车辆（其中新能源车辆占比不低于50%）和生活垃圾桶（箱）；代建并运营韩城市镇村生活垃圾收运调度中心；负责将韩城市市域范围内镇（办）村（居委会）生活垃圾，由集中收集点收运至指定的生活垃圾压缩转运站，配合镇办开展非正规生活垃圾堆放点整治，实现全市自然村生活垃圾集中收运100%全覆盖。具体包括以下：</w:t>
            </w:r>
          </w:p>
          <w:p>
            <w:pPr>
              <w:pStyle w:val="null3"/>
              <w:ind w:firstLine="422"/>
              <w:jc w:val="both"/>
            </w:pPr>
            <w:r>
              <w:rPr>
                <w:rFonts w:ascii="仿宋_GB2312" w:hAnsi="仿宋_GB2312" w:cs="仿宋_GB2312" w:eastAsia="仿宋_GB2312"/>
                <w:sz w:val="21"/>
                <w:b/>
              </w:rPr>
              <w:t>（一）配备生活垃圾收集车辆</w:t>
            </w:r>
          </w:p>
          <w:p>
            <w:pPr>
              <w:pStyle w:val="null3"/>
              <w:ind w:firstLine="420"/>
              <w:jc w:val="both"/>
            </w:pPr>
            <w:r>
              <w:rPr>
                <w:rFonts w:ascii="仿宋_GB2312" w:hAnsi="仿宋_GB2312" w:cs="仿宋_GB2312" w:eastAsia="仿宋_GB2312"/>
                <w:sz w:val="21"/>
              </w:rPr>
              <w:t>由运营方采购满足全市镇村生活垃圾收运要求的生活垃圾压缩车、收集车、转运车，具体数量、配置由运营方根据各自方案自行确定。</w:t>
            </w:r>
          </w:p>
          <w:p>
            <w:pPr>
              <w:pStyle w:val="null3"/>
              <w:ind w:firstLine="422"/>
              <w:jc w:val="both"/>
            </w:pPr>
            <w:r>
              <w:rPr>
                <w:rFonts w:ascii="仿宋_GB2312" w:hAnsi="仿宋_GB2312" w:cs="仿宋_GB2312" w:eastAsia="仿宋_GB2312"/>
                <w:sz w:val="21"/>
                <w:b/>
              </w:rPr>
              <w:t>（二）配备村级生活垃圾桶（箱）</w:t>
            </w:r>
          </w:p>
          <w:p>
            <w:pPr>
              <w:pStyle w:val="null3"/>
              <w:ind w:firstLine="420"/>
              <w:jc w:val="both"/>
            </w:pPr>
            <w:r>
              <w:rPr>
                <w:rFonts w:ascii="仿宋_GB2312" w:hAnsi="仿宋_GB2312" w:cs="仿宋_GB2312" w:eastAsia="仿宋_GB2312"/>
                <w:sz w:val="21"/>
              </w:rPr>
              <w:t>由运营方根据各自方案，在各镇办村组收集点投放生活垃圾桶或生活垃圾箱，数量满足收运需要。</w:t>
            </w:r>
          </w:p>
          <w:p>
            <w:pPr>
              <w:pStyle w:val="null3"/>
              <w:ind w:firstLine="422"/>
              <w:jc w:val="both"/>
            </w:pPr>
            <w:r>
              <w:rPr>
                <w:rFonts w:ascii="仿宋_GB2312" w:hAnsi="仿宋_GB2312" w:cs="仿宋_GB2312" w:eastAsia="仿宋_GB2312"/>
                <w:sz w:val="21"/>
                <w:b/>
              </w:rPr>
              <w:t>（三）代建并运营镇村生活垃圾收运调度中心</w:t>
            </w:r>
          </w:p>
          <w:p>
            <w:pPr>
              <w:pStyle w:val="null3"/>
              <w:ind w:firstLine="420"/>
              <w:jc w:val="both"/>
            </w:pPr>
            <w:r>
              <w:rPr>
                <w:rFonts w:ascii="仿宋_GB2312" w:hAnsi="仿宋_GB2312" w:cs="仿宋_GB2312" w:eastAsia="仿宋_GB2312"/>
                <w:sz w:val="21"/>
              </w:rPr>
              <w:t>根据主管部门建设工程规划，代建并运营韩城市镇村生活垃圾收运调度中心（最终以相关部门批准的项目建设工程规划许可和施工许可为准），主要包括：</w:t>
            </w:r>
          </w:p>
          <w:p>
            <w:pPr>
              <w:pStyle w:val="null3"/>
              <w:ind w:firstLine="422"/>
              <w:jc w:val="both"/>
            </w:pPr>
            <w:r>
              <w:rPr>
                <w:rFonts w:ascii="仿宋_GB2312" w:hAnsi="仿宋_GB2312" w:cs="仿宋_GB2312" w:eastAsia="仿宋_GB2312"/>
                <w:sz w:val="21"/>
                <w:b/>
              </w:rPr>
              <w:t>1.基础工程</w:t>
            </w:r>
          </w:p>
          <w:p>
            <w:pPr>
              <w:pStyle w:val="null3"/>
              <w:ind w:firstLine="420"/>
              <w:jc w:val="both"/>
            </w:pPr>
            <w:r>
              <w:rPr>
                <w:rFonts w:ascii="仿宋_GB2312" w:hAnsi="仿宋_GB2312" w:cs="仿宋_GB2312" w:eastAsia="仿宋_GB2312"/>
                <w:sz w:val="21"/>
              </w:rPr>
              <w:t>调度中心办公楼约</w:t>
            </w:r>
            <w:r>
              <w:rPr>
                <w:rFonts w:ascii="仿宋_GB2312" w:hAnsi="仿宋_GB2312" w:cs="仿宋_GB2312" w:eastAsia="仿宋_GB2312"/>
                <w:sz w:val="21"/>
              </w:rPr>
              <w:t>896.3平方米；有害垃圾暂存点约49平方米，设备管理间约37.5平方米。室外配套工程约5986平米，大型环卫车停车大棚1053平米，小型车停车棚263.3平方米。绿化及其他工程。</w:t>
            </w:r>
          </w:p>
          <w:p>
            <w:pPr>
              <w:pStyle w:val="null3"/>
              <w:ind w:firstLine="422"/>
              <w:jc w:val="both"/>
            </w:pPr>
            <w:r>
              <w:rPr>
                <w:rFonts w:ascii="仿宋_GB2312" w:hAnsi="仿宋_GB2312" w:cs="仿宋_GB2312" w:eastAsia="仿宋_GB2312"/>
                <w:sz w:val="21"/>
                <w:b/>
              </w:rPr>
              <w:t>2.配套设施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1）调度中心办公楼室内外装修、消防等，配套必需办公设施。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2）调度中心一楼建设韩城市生活垃圾分类宣教中心，制定方案并配备相关硬件设施。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3）调度中心一楼建设镇村生活垃圾智慧监控调度系统，制定方案并配备相关硬件设施。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4）建设10组（20个）的大型环卫车辆充电桩，小型车辆充电桩8组（16个），配备满足充电需要的箱式变压器及其他停车设施。</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5）场地监控、照明、道闸等其他必要配套设施。</w:t>
            </w:r>
          </w:p>
          <w:p>
            <w:pPr>
              <w:pStyle w:val="null3"/>
              <w:ind w:firstLine="422"/>
              <w:jc w:val="both"/>
            </w:pPr>
            <w:r>
              <w:rPr>
                <w:rFonts w:ascii="仿宋_GB2312" w:hAnsi="仿宋_GB2312" w:cs="仿宋_GB2312" w:eastAsia="仿宋_GB2312"/>
                <w:sz w:val="21"/>
                <w:b/>
              </w:rPr>
              <w:t>（四）生活垃圾集中收运</w:t>
            </w:r>
          </w:p>
          <w:p>
            <w:pPr>
              <w:pStyle w:val="null3"/>
              <w:ind w:firstLine="420"/>
              <w:jc w:val="both"/>
            </w:pPr>
            <w:r>
              <w:rPr>
                <w:rFonts w:ascii="仿宋_GB2312" w:hAnsi="仿宋_GB2312" w:cs="仿宋_GB2312" w:eastAsia="仿宋_GB2312"/>
                <w:sz w:val="21"/>
              </w:rPr>
              <w:t>将韩城市市域范围内镇（办）村（居委会）生活垃圾，由集中收集点收运至就近的生活垃圾压缩转运站。</w:t>
            </w:r>
          </w:p>
          <w:p>
            <w:pPr>
              <w:pStyle w:val="null3"/>
              <w:ind w:firstLine="420"/>
              <w:jc w:val="both"/>
            </w:pPr>
            <w:r>
              <w:rPr>
                <w:rFonts w:ascii="仿宋_GB2312" w:hAnsi="仿宋_GB2312" w:cs="仿宋_GB2312" w:eastAsia="仿宋_GB2312"/>
                <w:sz w:val="21"/>
              </w:rPr>
              <w:t>1.日产日清收运区域：新城办、金城办、龙门镇辖区全部村组（社区），西庄镇原西庄片区、昝村片区全部村组和盘龙片区乡道沿线村组，桑树坪镇桑雷路、韩宜路沿线村组，板桥镇327国道沿线村组，芝川镇原芝川片区、龙亭片区全部村组和嵬东片区西少至北头村、西少至高门村乡道沿线村组，芝阳镇芝东路、吕清路、战备路沿线村组（具体以招标文件为准）。</w:t>
            </w:r>
          </w:p>
          <w:p>
            <w:pPr>
              <w:pStyle w:val="null3"/>
              <w:ind w:firstLine="420"/>
              <w:jc w:val="both"/>
            </w:pPr>
            <w:r>
              <w:rPr>
                <w:rFonts w:ascii="仿宋_GB2312" w:hAnsi="仿宋_GB2312" w:cs="仿宋_GB2312" w:eastAsia="仿宋_GB2312"/>
                <w:sz w:val="21"/>
              </w:rPr>
              <w:t>2.定期收运区域：芝川镇、芝阳镇、板桥镇、西庄镇、桑树坪镇等5个镇距离主干路较远的山区村组，收运时间原则上不超过3天，大雾雨雪等极端天气可适当顺延（具体以招标文件为准）。</w:t>
            </w:r>
          </w:p>
          <w:p>
            <w:pPr>
              <w:pStyle w:val="null3"/>
              <w:ind w:firstLine="420"/>
              <w:jc w:val="both"/>
            </w:pPr>
            <w:r>
              <w:rPr>
                <w:rFonts w:ascii="仿宋_GB2312" w:hAnsi="仿宋_GB2312" w:cs="仿宋_GB2312" w:eastAsia="仿宋_GB2312"/>
                <w:sz w:val="21"/>
              </w:rPr>
              <w:t>3.全市镇村生活垃圾集中收运自然村（组）覆盖率达到100%。</w:t>
            </w:r>
          </w:p>
          <w:p>
            <w:pPr>
              <w:pStyle w:val="null3"/>
              <w:ind w:firstLine="420"/>
              <w:jc w:val="both"/>
            </w:pPr>
            <w:r>
              <w:rPr>
                <w:rFonts w:ascii="仿宋_GB2312" w:hAnsi="仿宋_GB2312" w:cs="仿宋_GB2312" w:eastAsia="仿宋_GB2312"/>
                <w:sz w:val="21"/>
              </w:rPr>
              <w:t>五、服务费用</w:t>
            </w:r>
          </w:p>
          <w:p>
            <w:pPr>
              <w:pStyle w:val="null3"/>
              <w:ind w:firstLine="420"/>
              <w:jc w:val="both"/>
            </w:pPr>
            <w:r>
              <w:rPr>
                <w:rFonts w:ascii="仿宋_GB2312" w:hAnsi="仿宋_GB2312" w:cs="仿宋_GB2312" w:eastAsia="仿宋_GB2312"/>
                <w:sz w:val="21"/>
              </w:rPr>
              <w:t>经政府专题会研究确定该项目年服务费用不超过1500万元。根据《韩城市城乡生活垃圾收运体系规划（2021-2035）》测算，我市2025年镇村四类生活垃圾每日总产生量约196.6吨。经对目前已收运的生活垃圾和未收运生活垃圾统计测算，每日实际产量约120吨～160吨。经政府专题会议审议讨论，同意以每日镇村生活垃圾日产量150吨测算服务费用单价。</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生活垃圾转运服务单价</w:t>
            </w:r>
            <w:r>
              <w:rPr>
                <w:rFonts w:ascii="仿宋_GB2312" w:hAnsi="仿宋_GB2312" w:cs="仿宋_GB2312" w:eastAsia="仿宋_GB2312"/>
                <w:sz w:val="21"/>
              </w:rPr>
              <w:t>：按照收运至就近压缩站称重后核算，每</w:t>
            </w:r>
            <w:r>
              <w:rPr>
                <w:rFonts w:ascii="仿宋_GB2312" w:hAnsi="仿宋_GB2312" w:cs="仿宋_GB2312" w:eastAsia="仿宋_GB2312"/>
                <w:sz w:val="21"/>
              </w:rPr>
              <w:t>1吨生活垃圾服务单价不超过274元（以每日产量150吨测算）。</w:t>
            </w:r>
          </w:p>
          <w:p>
            <w:pPr>
              <w:pStyle w:val="null3"/>
              <w:ind w:firstLine="420"/>
              <w:jc w:val="both"/>
            </w:pPr>
            <w:r>
              <w:rPr>
                <w:rFonts w:ascii="仿宋_GB2312" w:hAnsi="仿宋_GB2312" w:cs="仿宋_GB2312" w:eastAsia="仿宋_GB2312"/>
                <w:sz w:val="21"/>
              </w:rPr>
              <w:t>2.费用结算及支付方式：根据服务单价和每月实际收运至压缩站生活垃圾量，运营公司次月10日前与主管部门核算垃圾收运量并结算上月运营费用。双方确认无争议后，运营公司提供正式发票，由主管部门申请市财政资金，每月服务费用支付周期原则上不超过6个月。</w:t>
            </w:r>
          </w:p>
          <w:p>
            <w:pPr>
              <w:pStyle w:val="null3"/>
              <w:ind w:firstLine="420"/>
              <w:jc w:val="both"/>
            </w:pPr>
            <w:r>
              <w:rPr>
                <w:rFonts w:ascii="仿宋_GB2312" w:hAnsi="仿宋_GB2312" w:cs="仿宋_GB2312" w:eastAsia="仿宋_GB2312"/>
                <w:sz w:val="21"/>
              </w:rPr>
              <w:t>六、服务要求</w:t>
            </w:r>
          </w:p>
          <w:p>
            <w:pPr>
              <w:pStyle w:val="null3"/>
              <w:ind w:firstLine="422"/>
              <w:jc w:val="both"/>
            </w:pPr>
            <w:r>
              <w:rPr>
                <w:rFonts w:ascii="仿宋_GB2312" w:hAnsi="仿宋_GB2312" w:cs="仿宋_GB2312" w:eastAsia="仿宋_GB2312"/>
                <w:sz w:val="21"/>
                <w:b/>
              </w:rPr>
              <w:t>（一）投资要求</w:t>
            </w:r>
          </w:p>
          <w:p>
            <w:pPr>
              <w:pStyle w:val="null3"/>
              <w:ind w:firstLine="420"/>
              <w:jc w:val="both"/>
            </w:pPr>
            <w:r>
              <w:rPr>
                <w:rFonts w:ascii="仿宋_GB2312" w:hAnsi="仿宋_GB2312" w:cs="仿宋_GB2312" w:eastAsia="仿宋_GB2312"/>
                <w:sz w:val="21"/>
              </w:rPr>
              <w:t>由运营方负责配备满足镇村收运需要的各类生活垃圾收运车辆（其中新能源车辆占比不低于</w:t>
            </w:r>
            <w:r>
              <w:rPr>
                <w:rFonts w:ascii="仿宋_GB2312" w:hAnsi="仿宋_GB2312" w:cs="仿宋_GB2312" w:eastAsia="仿宋_GB2312"/>
                <w:sz w:val="21"/>
              </w:rPr>
              <w:t>50%）和生活垃圾桶（箱），代建镇村生活垃圾调度中心及配套设施，首期投资总额不低于3000万元（以中标结果为准）。</w:t>
            </w:r>
          </w:p>
          <w:p>
            <w:pPr>
              <w:pStyle w:val="null3"/>
              <w:ind w:firstLine="422"/>
              <w:jc w:val="both"/>
            </w:pPr>
            <w:r>
              <w:rPr>
                <w:rFonts w:ascii="仿宋_GB2312" w:hAnsi="仿宋_GB2312" w:cs="仿宋_GB2312" w:eastAsia="仿宋_GB2312"/>
                <w:sz w:val="21"/>
                <w:b/>
              </w:rPr>
              <w:t>（二）建设周期</w:t>
            </w:r>
          </w:p>
          <w:p>
            <w:pPr>
              <w:pStyle w:val="null3"/>
              <w:ind w:firstLine="420"/>
              <w:jc w:val="both"/>
            </w:pPr>
            <w:r>
              <w:rPr>
                <w:rFonts w:ascii="仿宋_GB2312" w:hAnsi="仿宋_GB2312" w:cs="仿宋_GB2312" w:eastAsia="仿宋_GB2312"/>
                <w:sz w:val="21"/>
              </w:rPr>
              <w:t>1.各类生活垃圾收运车辆（其中新能源车辆占比不低于50%）和生活垃圾桶（箱），在中标合同签订后两个月内全部到位；</w:t>
            </w:r>
          </w:p>
          <w:p>
            <w:pPr>
              <w:pStyle w:val="null3"/>
              <w:ind w:firstLine="420"/>
              <w:jc w:val="both"/>
            </w:pPr>
            <w:r>
              <w:rPr>
                <w:rFonts w:ascii="仿宋_GB2312" w:hAnsi="仿宋_GB2312" w:cs="仿宋_GB2312" w:eastAsia="仿宋_GB2312"/>
                <w:sz w:val="21"/>
              </w:rPr>
              <w:t>2.代建的镇村生活垃圾收运调度中心及配套设施，在主管部门各项建设工程手续办理到位后，4月内建设到位。</w:t>
            </w:r>
          </w:p>
          <w:p>
            <w:pPr>
              <w:pStyle w:val="null3"/>
              <w:ind w:firstLine="422"/>
              <w:jc w:val="both"/>
            </w:pPr>
            <w:r>
              <w:rPr>
                <w:rFonts w:ascii="仿宋_GB2312" w:hAnsi="仿宋_GB2312" w:cs="仿宋_GB2312" w:eastAsia="仿宋_GB2312"/>
                <w:sz w:val="21"/>
                <w:b/>
              </w:rPr>
              <w:t>（四）履约保证金</w:t>
            </w:r>
          </w:p>
          <w:p>
            <w:pPr>
              <w:pStyle w:val="null3"/>
              <w:ind w:firstLine="420"/>
              <w:jc w:val="both"/>
            </w:pPr>
            <w:r>
              <w:rPr>
                <w:rFonts w:ascii="仿宋_GB2312" w:hAnsi="仿宋_GB2312" w:cs="仿宋_GB2312" w:eastAsia="仿宋_GB2312"/>
                <w:sz w:val="21"/>
              </w:rPr>
              <w:t>中标单位在本项目采购合同签订前需向主管部门缴纳中标金额</w:t>
            </w:r>
            <w:r>
              <w:rPr>
                <w:rFonts w:ascii="仿宋_GB2312" w:hAnsi="仿宋_GB2312" w:cs="仿宋_GB2312" w:eastAsia="仿宋_GB2312"/>
                <w:sz w:val="21"/>
              </w:rPr>
              <w:t>10%履约保证金以保证各类生活垃圾收运车辆（其中</w:t>
            </w:r>
            <w:r>
              <w:rPr>
                <w:rFonts w:ascii="仿宋_GB2312" w:hAnsi="仿宋_GB2312" w:cs="仿宋_GB2312" w:eastAsia="仿宋_GB2312"/>
                <w:sz w:val="21"/>
              </w:rPr>
              <w:t>新能源车辆占比不低于</w:t>
            </w:r>
            <w:r>
              <w:rPr>
                <w:rFonts w:ascii="仿宋_GB2312" w:hAnsi="仿宋_GB2312" w:cs="仿宋_GB2312" w:eastAsia="仿宋_GB2312"/>
                <w:sz w:val="21"/>
              </w:rPr>
              <w:t>50%）和生活垃圾桶（箱）两个月内配备到位，代建镇村生活垃圾调度中心及配套设施在规定期间完工。如超过两个月中标单位生活垃圾收运车辆和生活垃圾桶（箱）未配备到位，主管部门有权扣除履约保证金并终止合同。</w:t>
            </w:r>
          </w:p>
          <w:p>
            <w:pPr>
              <w:pStyle w:val="null3"/>
              <w:ind w:firstLine="420"/>
              <w:jc w:val="both"/>
            </w:pPr>
            <w:r>
              <w:rPr>
                <w:rFonts w:ascii="仿宋_GB2312" w:hAnsi="仿宋_GB2312" w:cs="仿宋_GB2312" w:eastAsia="仿宋_GB2312"/>
                <w:sz w:val="21"/>
              </w:rPr>
              <w:t>七、其他事项</w:t>
            </w:r>
          </w:p>
          <w:p>
            <w:pPr>
              <w:pStyle w:val="null3"/>
              <w:ind w:firstLine="420"/>
              <w:jc w:val="both"/>
            </w:pPr>
            <w:r>
              <w:rPr>
                <w:rFonts w:ascii="仿宋_GB2312" w:hAnsi="仿宋_GB2312" w:cs="仿宋_GB2312" w:eastAsia="仿宋_GB2312"/>
                <w:sz w:val="21"/>
              </w:rPr>
              <w:t>1.参与投标的单位，应在标书中明确生活垃圾收运车辆的数量、型号，生活垃圾桶（箱）的类型、数量，按照主管部门要求制定详细收运方案，确保自然村生活垃圾收运100%覆盖。</w:t>
            </w:r>
          </w:p>
          <w:p>
            <w:pPr>
              <w:pStyle w:val="null3"/>
              <w:ind w:firstLine="420"/>
              <w:jc w:val="both"/>
            </w:pPr>
            <w:r>
              <w:rPr>
                <w:rFonts w:ascii="仿宋_GB2312" w:hAnsi="仿宋_GB2312" w:cs="仿宋_GB2312" w:eastAsia="仿宋_GB2312"/>
                <w:sz w:val="21"/>
              </w:rPr>
              <w:t>2.参与投标的单位，应按主管部门建设工程规划，规范编制镇村生活垃圾调度中心建设方案。方案中要特别明确生活垃圾分类宣传教育中心实施方案、生活垃圾收运智慧管理调度实施方案。主管部门联合相关部门，对工程建设情况进行日常监督和最终竣工验收。</w:t>
            </w:r>
          </w:p>
          <w:p>
            <w:pPr>
              <w:pStyle w:val="null3"/>
              <w:ind w:firstLine="420"/>
              <w:jc w:val="both"/>
            </w:pPr>
            <w:r>
              <w:rPr>
                <w:rFonts w:ascii="仿宋_GB2312" w:hAnsi="仿宋_GB2312" w:cs="仿宋_GB2312" w:eastAsia="仿宋_GB2312"/>
                <w:sz w:val="21"/>
              </w:rPr>
              <w:t>3.中标运营单位应当负责项目建设、运营期间的安全生产和生态环境保护工作，并承担相应的法律责任和经济责任。</w:t>
            </w:r>
          </w:p>
          <w:p>
            <w:pPr>
              <w:pStyle w:val="null3"/>
              <w:ind w:firstLine="420"/>
              <w:jc w:val="both"/>
            </w:pPr>
            <w:r>
              <w:rPr>
                <w:rFonts w:ascii="仿宋_GB2312" w:hAnsi="仿宋_GB2312" w:cs="仿宋_GB2312" w:eastAsia="仿宋_GB2312"/>
                <w:sz w:val="21"/>
              </w:rPr>
              <w:t>4.中标单位代建镇村生活垃圾调度中心项目时，严格遵守相关法律法规，保证工程质量，不得拖欠工程款和农民工工资。</w:t>
            </w:r>
          </w:p>
          <w:p>
            <w:pPr>
              <w:pStyle w:val="null3"/>
              <w:ind w:firstLine="420"/>
              <w:jc w:val="both"/>
            </w:pPr>
            <w:r>
              <w:rPr>
                <w:rFonts w:ascii="仿宋_GB2312" w:hAnsi="仿宋_GB2312" w:cs="仿宋_GB2312" w:eastAsia="仿宋_GB2312"/>
                <w:sz w:val="21"/>
              </w:rPr>
              <w:t>5.中标单位应当按照相关劳动法规和主管部门要求，按时支付聘用人员工资，提供必要劳动保障，依法缴纳相关社会保险等，切实保障聘用人员合法权益。</w:t>
            </w:r>
          </w:p>
          <w:p>
            <w:pPr>
              <w:pStyle w:val="null3"/>
              <w:ind w:firstLine="420"/>
              <w:jc w:val="both"/>
            </w:pPr>
            <w:r>
              <w:rPr>
                <w:rFonts w:ascii="仿宋_GB2312" w:hAnsi="仿宋_GB2312" w:cs="仿宋_GB2312" w:eastAsia="仿宋_GB2312"/>
                <w:sz w:val="21"/>
              </w:rPr>
              <w:t>6.中标单位应当自觉接受主管部门的日常监管和考核，对主管部门及基层干部群众提出的运营问题要及时回应并积极整改，不断提高生活垃圾收运工作实效和群众满意度。</w:t>
            </w:r>
          </w:p>
          <w:p>
            <w:pPr>
              <w:pStyle w:val="null3"/>
              <w:jc w:val="center"/>
            </w:pPr>
            <w:r>
              <w:rPr>
                <w:rFonts w:ascii="仿宋_GB2312" w:hAnsi="仿宋_GB2312" w:cs="仿宋_GB2312" w:eastAsia="仿宋_GB2312"/>
                <w:sz w:val="21"/>
                <w:b/>
              </w:rPr>
              <w:t>韩城市</w:t>
            </w:r>
            <w:r>
              <w:rPr>
                <w:rFonts w:ascii="仿宋_GB2312" w:hAnsi="仿宋_GB2312" w:cs="仿宋_GB2312" w:eastAsia="仿宋_GB2312"/>
                <w:sz w:val="21"/>
                <w:b/>
              </w:rPr>
              <w:t>镇</w:t>
            </w:r>
            <w:r>
              <w:rPr>
                <w:rFonts w:ascii="仿宋_GB2312" w:hAnsi="仿宋_GB2312" w:cs="仿宋_GB2312" w:eastAsia="仿宋_GB2312"/>
                <w:sz w:val="21"/>
                <w:b/>
              </w:rPr>
              <w:t>村</w:t>
            </w:r>
            <w:r>
              <w:rPr>
                <w:rFonts w:ascii="仿宋_GB2312" w:hAnsi="仿宋_GB2312" w:cs="仿宋_GB2312" w:eastAsia="仿宋_GB2312"/>
                <w:sz w:val="21"/>
                <w:b/>
              </w:rPr>
              <w:t>生活垃圾收集转运工作</w:t>
            </w:r>
          </w:p>
          <w:p>
            <w:pPr>
              <w:pStyle w:val="null3"/>
              <w:jc w:val="center"/>
            </w:pPr>
            <w:r>
              <w:rPr>
                <w:rFonts w:ascii="仿宋_GB2312" w:hAnsi="仿宋_GB2312" w:cs="仿宋_GB2312" w:eastAsia="仿宋_GB2312"/>
                <w:sz w:val="21"/>
                <w:b/>
              </w:rPr>
              <w:t>考核</w:t>
            </w:r>
            <w:r>
              <w:rPr>
                <w:rFonts w:ascii="仿宋_GB2312" w:hAnsi="仿宋_GB2312" w:cs="仿宋_GB2312" w:eastAsia="仿宋_GB2312"/>
                <w:sz w:val="21"/>
                <w:b/>
              </w:rPr>
              <w:t>办法</w:t>
            </w:r>
            <w:r>
              <w:rPr>
                <w:rFonts w:ascii="仿宋_GB2312" w:hAnsi="仿宋_GB2312" w:cs="仿宋_GB2312" w:eastAsia="仿宋_GB2312"/>
                <w:sz w:val="21"/>
                <w:b/>
              </w:rPr>
              <w:t>（试行）</w:t>
            </w:r>
          </w:p>
          <w:p>
            <w:pPr>
              <w:pStyle w:val="null3"/>
              <w:ind w:firstLine="420"/>
              <w:jc w:val="both"/>
            </w:pPr>
            <w:r>
              <w:rPr>
                <w:rFonts w:ascii="仿宋_GB2312" w:hAnsi="仿宋_GB2312" w:cs="仿宋_GB2312" w:eastAsia="仿宋_GB2312"/>
                <w:sz w:val="21"/>
              </w:rPr>
              <w:t>第一章</w:t>
            </w:r>
            <w:r>
              <w:rPr>
                <w:rFonts w:ascii="仿宋_GB2312" w:hAnsi="仿宋_GB2312" w:cs="仿宋_GB2312" w:eastAsia="仿宋_GB2312"/>
                <w:sz w:val="21"/>
              </w:rPr>
              <w:t>总则</w:t>
            </w:r>
          </w:p>
          <w:p>
            <w:pPr>
              <w:pStyle w:val="null3"/>
              <w:ind w:firstLine="422"/>
              <w:jc w:val="both"/>
            </w:pPr>
            <w:r>
              <w:rPr>
                <w:rFonts w:ascii="仿宋_GB2312" w:hAnsi="仿宋_GB2312" w:cs="仿宋_GB2312" w:eastAsia="仿宋_GB2312"/>
                <w:sz w:val="21"/>
                <w:b/>
              </w:rPr>
              <w:t>第一条</w:t>
            </w:r>
            <w:r>
              <w:rPr>
                <w:rFonts w:ascii="仿宋_GB2312" w:hAnsi="仿宋_GB2312" w:cs="仿宋_GB2312" w:eastAsia="仿宋_GB2312"/>
                <w:sz w:val="21"/>
              </w:rPr>
              <w:t xml:space="preserve"> </w:t>
            </w:r>
            <w:r>
              <w:rPr>
                <w:rFonts w:ascii="仿宋_GB2312" w:hAnsi="仿宋_GB2312" w:cs="仿宋_GB2312" w:eastAsia="仿宋_GB2312"/>
                <w:sz w:val="21"/>
              </w:rPr>
              <w:t>为规范我市政府购买服务的城镇生活垃圾收集转运工作，提升作业质量与管理水平，建立健全科学、有效的监督考核机制，确保生活垃圾日产日清、环境整洁，促进安全生产、环境保护与社会和谐稳定，根据《中华人民共和国固体废物污染环境防治法》《住建部农村生活垃圾收运和处理技术标准》相关法律法规、</w:t>
            </w:r>
            <w:r>
              <w:rPr>
                <w:rFonts w:ascii="仿宋_GB2312" w:hAnsi="仿宋_GB2312" w:cs="仿宋_GB2312" w:eastAsia="仿宋_GB2312"/>
                <w:sz w:val="21"/>
              </w:rPr>
              <w:t>行业标准</w:t>
            </w:r>
            <w:r>
              <w:rPr>
                <w:rFonts w:ascii="仿宋_GB2312" w:hAnsi="仿宋_GB2312" w:cs="仿宋_GB2312" w:eastAsia="仿宋_GB2312"/>
                <w:sz w:val="21"/>
              </w:rPr>
              <w:t>及合同约定，结合我市实际，制定本</w:t>
            </w:r>
            <w:r>
              <w:rPr>
                <w:rFonts w:ascii="仿宋_GB2312" w:hAnsi="仿宋_GB2312" w:cs="仿宋_GB2312" w:eastAsia="仿宋_GB2312"/>
                <w:sz w:val="21"/>
              </w:rPr>
              <w:t>办法</w:t>
            </w:r>
            <w:r>
              <w:rPr>
                <w:rFonts w:ascii="仿宋_GB2312" w:hAnsi="仿宋_GB2312" w:cs="仿宋_GB2312" w:eastAsia="仿宋_GB2312"/>
                <w:sz w:val="21"/>
              </w:rPr>
              <w:t>。</w:t>
            </w:r>
          </w:p>
          <w:p>
            <w:pPr>
              <w:pStyle w:val="null3"/>
              <w:ind w:firstLine="422"/>
              <w:jc w:val="both"/>
            </w:pPr>
            <w:r>
              <w:rPr>
                <w:rFonts w:ascii="仿宋_GB2312" w:hAnsi="仿宋_GB2312" w:cs="仿宋_GB2312" w:eastAsia="仿宋_GB2312"/>
                <w:sz w:val="21"/>
                <w:b/>
              </w:rPr>
              <w:t>第二条</w:t>
            </w:r>
            <w:r>
              <w:rPr>
                <w:rFonts w:ascii="仿宋_GB2312" w:hAnsi="仿宋_GB2312" w:cs="仿宋_GB2312" w:eastAsia="仿宋_GB2312"/>
                <w:sz w:val="21"/>
              </w:rPr>
              <w:t xml:space="preserve"> </w:t>
            </w:r>
            <w:r>
              <w:rPr>
                <w:rFonts w:ascii="仿宋_GB2312" w:hAnsi="仿宋_GB2312" w:cs="仿宋_GB2312" w:eastAsia="仿宋_GB2312"/>
                <w:sz w:val="21"/>
              </w:rPr>
              <w:t>本</w:t>
            </w:r>
            <w:r>
              <w:rPr>
                <w:rFonts w:ascii="仿宋_GB2312" w:hAnsi="仿宋_GB2312" w:cs="仿宋_GB2312" w:eastAsia="仿宋_GB2312"/>
                <w:sz w:val="21"/>
              </w:rPr>
              <w:t>办法</w:t>
            </w:r>
            <w:r>
              <w:rPr>
                <w:rFonts w:ascii="仿宋_GB2312" w:hAnsi="仿宋_GB2312" w:cs="仿宋_GB2312" w:eastAsia="仿宋_GB2312"/>
                <w:sz w:val="21"/>
              </w:rPr>
              <w:t>适用于对承接</w:t>
            </w:r>
            <w:r>
              <w:rPr>
                <w:rFonts w:ascii="仿宋_GB2312" w:hAnsi="仿宋_GB2312" w:cs="仿宋_GB2312" w:eastAsia="仿宋_GB2312"/>
                <w:sz w:val="21"/>
              </w:rPr>
              <w:t>韩城市</w:t>
            </w:r>
            <w:r>
              <w:rPr>
                <w:rFonts w:ascii="仿宋_GB2312" w:hAnsi="仿宋_GB2312" w:cs="仿宋_GB2312" w:eastAsia="仿宋_GB2312"/>
                <w:sz w:val="21"/>
              </w:rPr>
              <w:t>镇</w:t>
            </w:r>
            <w:r>
              <w:rPr>
                <w:rFonts w:ascii="仿宋_GB2312" w:hAnsi="仿宋_GB2312" w:cs="仿宋_GB2312" w:eastAsia="仿宋_GB2312"/>
                <w:sz w:val="21"/>
              </w:rPr>
              <w:t>（</w:t>
            </w:r>
            <w:r>
              <w:rPr>
                <w:rFonts w:ascii="仿宋_GB2312" w:hAnsi="仿宋_GB2312" w:cs="仿宋_GB2312" w:eastAsia="仿宋_GB2312"/>
                <w:sz w:val="21"/>
              </w:rPr>
              <w:t>办）</w:t>
            </w:r>
            <w:r>
              <w:rPr>
                <w:rFonts w:ascii="仿宋_GB2312" w:hAnsi="仿宋_GB2312" w:cs="仿宋_GB2312" w:eastAsia="仿宋_GB2312"/>
                <w:sz w:val="21"/>
              </w:rPr>
              <w:t>村</w:t>
            </w:r>
            <w:r>
              <w:rPr>
                <w:rFonts w:ascii="仿宋_GB2312" w:hAnsi="仿宋_GB2312" w:cs="仿宋_GB2312" w:eastAsia="仿宋_GB2312"/>
                <w:sz w:val="21"/>
              </w:rPr>
              <w:t>（</w:t>
            </w:r>
            <w:r>
              <w:rPr>
                <w:rFonts w:ascii="仿宋_GB2312" w:hAnsi="仿宋_GB2312" w:cs="仿宋_GB2312" w:eastAsia="仿宋_GB2312"/>
                <w:sz w:val="21"/>
              </w:rPr>
              <w:t>居）</w:t>
            </w:r>
            <w:r>
              <w:rPr>
                <w:rFonts w:ascii="仿宋_GB2312" w:hAnsi="仿宋_GB2312" w:cs="仿宋_GB2312" w:eastAsia="仿宋_GB2312"/>
                <w:sz w:val="21"/>
              </w:rPr>
              <w:t>生活垃圾收集转运服务的</w:t>
            </w:r>
            <w:r>
              <w:rPr>
                <w:rFonts w:ascii="仿宋_GB2312" w:hAnsi="仿宋_GB2312" w:cs="仿宋_GB2312" w:eastAsia="仿宋_GB2312"/>
                <w:sz w:val="21"/>
              </w:rPr>
              <w:t>市场化服务</w:t>
            </w:r>
            <w:r>
              <w:rPr>
                <w:rFonts w:ascii="仿宋_GB2312" w:hAnsi="仿宋_GB2312" w:cs="仿宋_GB2312" w:eastAsia="仿宋_GB2312"/>
                <w:sz w:val="21"/>
              </w:rPr>
              <w:t>公司（以下简称</w:t>
            </w:r>
            <w:r>
              <w:rPr>
                <w:rFonts w:ascii="仿宋_GB2312" w:hAnsi="仿宋_GB2312" w:cs="仿宋_GB2312" w:eastAsia="仿宋_GB2312"/>
                <w:sz w:val="21"/>
              </w:rPr>
              <w:t>“</w:t>
            </w:r>
            <w:r>
              <w:rPr>
                <w:rFonts w:ascii="仿宋_GB2312" w:hAnsi="仿宋_GB2312" w:cs="仿宋_GB2312" w:eastAsia="仿宋_GB2312"/>
                <w:sz w:val="21"/>
              </w:rPr>
              <w:t>转</w:t>
            </w:r>
            <w:r>
              <w:rPr>
                <w:rFonts w:ascii="仿宋_GB2312" w:hAnsi="仿宋_GB2312" w:cs="仿宋_GB2312" w:eastAsia="仿宋_GB2312"/>
                <w:sz w:val="21"/>
              </w:rPr>
              <w:t>运公司</w:t>
            </w:r>
            <w:r>
              <w:rPr>
                <w:rFonts w:ascii="仿宋_GB2312" w:hAnsi="仿宋_GB2312" w:cs="仿宋_GB2312" w:eastAsia="仿宋_GB2312"/>
                <w:sz w:val="21"/>
              </w:rPr>
              <w:t>”）的</w:t>
            </w:r>
            <w:r>
              <w:rPr>
                <w:rFonts w:ascii="仿宋_GB2312" w:hAnsi="仿宋_GB2312" w:cs="仿宋_GB2312" w:eastAsia="仿宋_GB2312"/>
                <w:sz w:val="21"/>
              </w:rPr>
              <w:t>日常运营管理与履约情况的监督</w:t>
            </w:r>
            <w:r>
              <w:rPr>
                <w:rFonts w:ascii="仿宋_GB2312" w:hAnsi="仿宋_GB2312" w:cs="仿宋_GB2312" w:eastAsia="仿宋_GB2312"/>
                <w:sz w:val="21"/>
              </w:rPr>
              <w:t>考核。</w:t>
            </w:r>
          </w:p>
          <w:p>
            <w:pPr>
              <w:pStyle w:val="null3"/>
              <w:ind w:firstLine="422"/>
              <w:jc w:val="both"/>
            </w:pPr>
            <w:r>
              <w:rPr>
                <w:rFonts w:ascii="仿宋_GB2312" w:hAnsi="仿宋_GB2312" w:cs="仿宋_GB2312" w:eastAsia="仿宋_GB2312"/>
                <w:sz w:val="21"/>
                <w:b/>
              </w:rPr>
              <w:t>第</w:t>
            </w:r>
            <w:r>
              <w:rPr>
                <w:rFonts w:ascii="仿宋_GB2312" w:hAnsi="仿宋_GB2312" w:cs="仿宋_GB2312" w:eastAsia="仿宋_GB2312"/>
                <w:sz w:val="21"/>
                <w:b/>
              </w:rPr>
              <w:t>三</w:t>
            </w:r>
            <w:r>
              <w:rPr>
                <w:rFonts w:ascii="仿宋_GB2312" w:hAnsi="仿宋_GB2312" w:cs="仿宋_GB2312" w:eastAsia="仿宋_GB2312"/>
                <w:sz w:val="21"/>
                <w:b/>
              </w:rPr>
              <w:t>条</w:t>
            </w:r>
            <w:r>
              <w:rPr>
                <w:rFonts w:ascii="仿宋_GB2312" w:hAnsi="仿宋_GB2312" w:cs="仿宋_GB2312" w:eastAsia="仿宋_GB2312"/>
                <w:sz w:val="21"/>
              </w:rPr>
              <w:t xml:space="preserve"> </w:t>
            </w:r>
            <w:r>
              <w:rPr>
                <w:rFonts w:ascii="仿宋_GB2312" w:hAnsi="仿宋_GB2312" w:cs="仿宋_GB2312" w:eastAsia="仿宋_GB2312"/>
                <w:sz w:val="21"/>
              </w:rPr>
              <w:t>市城市管理执法局是镇</w:t>
            </w:r>
            <w:r>
              <w:rPr>
                <w:rFonts w:ascii="仿宋_GB2312" w:hAnsi="仿宋_GB2312" w:cs="仿宋_GB2312" w:eastAsia="仿宋_GB2312"/>
                <w:sz w:val="21"/>
              </w:rPr>
              <w:t>村</w:t>
            </w:r>
            <w:r>
              <w:rPr>
                <w:rFonts w:ascii="仿宋_GB2312" w:hAnsi="仿宋_GB2312" w:cs="仿宋_GB2312" w:eastAsia="仿宋_GB2312"/>
                <w:sz w:val="21"/>
              </w:rPr>
              <w:t>生活垃圾收运工作的主管部门，负责</w:t>
            </w:r>
            <w:r>
              <w:rPr>
                <w:rFonts w:ascii="仿宋_GB2312" w:hAnsi="仿宋_GB2312" w:cs="仿宋_GB2312" w:eastAsia="仿宋_GB2312"/>
                <w:sz w:val="21"/>
              </w:rPr>
              <w:t>牵头</w:t>
            </w:r>
            <w:r>
              <w:rPr>
                <w:rFonts w:ascii="仿宋_GB2312" w:hAnsi="仿宋_GB2312" w:cs="仿宋_GB2312" w:eastAsia="仿宋_GB2312"/>
                <w:sz w:val="21"/>
              </w:rPr>
              <w:t>组织实施考核</w:t>
            </w:r>
            <w:r>
              <w:rPr>
                <w:rFonts w:ascii="仿宋_GB2312" w:hAnsi="仿宋_GB2312" w:cs="仿宋_GB2312" w:eastAsia="仿宋_GB2312"/>
                <w:sz w:val="21"/>
              </w:rPr>
              <w:t>办法，</w:t>
            </w:r>
            <w:r>
              <w:rPr>
                <w:rFonts w:ascii="仿宋_GB2312" w:hAnsi="仿宋_GB2312" w:cs="仿宋_GB2312" w:eastAsia="仿宋_GB2312"/>
                <w:sz w:val="21"/>
              </w:rPr>
              <w:t>并根据考核结果落实相关奖惩措施。</w:t>
            </w:r>
          </w:p>
          <w:p>
            <w:pPr>
              <w:pStyle w:val="null3"/>
              <w:ind w:firstLine="422"/>
              <w:jc w:val="both"/>
            </w:pPr>
            <w:r>
              <w:rPr>
                <w:rFonts w:ascii="仿宋_GB2312" w:hAnsi="仿宋_GB2312" w:cs="仿宋_GB2312" w:eastAsia="仿宋_GB2312"/>
                <w:sz w:val="21"/>
                <w:b/>
              </w:rPr>
              <w:t>第</w:t>
            </w:r>
            <w:r>
              <w:rPr>
                <w:rFonts w:ascii="仿宋_GB2312" w:hAnsi="仿宋_GB2312" w:cs="仿宋_GB2312" w:eastAsia="仿宋_GB2312"/>
                <w:sz w:val="21"/>
                <w:b/>
              </w:rPr>
              <w:t>四</w:t>
            </w:r>
            <w:r>
              <w:rPr>
                <w:rFonts w:ascii="仿宋_GB2312" w:hAnsi="仿宋_GB2312" w:cs="仿宋_GB2312" w:eastAsia="仿宋_GB2312"/>
                <w:sz w:val="21"/>
                <w:b/>
              </w:rPr>
              <w:t>条</w:t>
            </w:r>
            <w:r>
              <w:rPr>
                <w:rFonts w:ascii="仿宋_GB2312" w:hAnsi="仿宋_GB2312" w:cs="仿宋_GB2312" w:eastAsia="仿宋_GB2312"/>
                <w:sz w:val="21"/>
              </w:rPr>
              <w:t xml:space="preserve"> </w:t>
            </w:r>
            <w:r>
              <w:rPr>
                <w:rFonts w:ascii="仿宋_GB2312" w:hAnsi="仿宋_GB2312" w:cs="仿宋_GB2312" w:eastAsia="仿宋_GB2312"/>
                <w:sz w:val="21"/>
              </w:rPr>
              <w:t>考核工作遵循公平、公正、公开的原则，坚持定量与定性相结合，日常检查与定期考核相结合，主管部门</w:t>
            </w:r>
            <w:r>
              <w:rPr>
                <w:rFonts w:ascii="仿宋_GB2312" w:hAnsi="仿宋_GB2312" w:cs="仿宋_GB2312" w:eastAsia="仿宋_GB2312"/>
                <w:sz w:val="21"/>
              </w:rPr>
              <w:t>考核</w:t>
            </w:r>
            <w:r>
              <w:rPr>
                <w:rFonts w:ascii="仿宋_GB2312" w:hAnsi="仿宋_GB2312" w:cs="仿宋_GB2312" w:eastAsia="仿宋_GB2312"/>
                <w:sz w:val="21"/>
              </w:rPr>
              <w:t>与</w:t>
            </w:r>
            <w:r>
              <w:rPr>
                <w:rFonts w:ascii="仿宋_GB2312" w:hAnsi="仿宋_GB2312" w:cs="仿宋_GB2312" w:eastAsia="仿宋_GB2312"/>
                <w:sz w:val="21"/>
              </w:rPr>
              <w:t>镇办考核</w:t>
            </w:r>
            <w:r>
              <w:rPr>
                <w:rFonts w:ascii="仿宋_GB2312" w:hAnsi="仿宋_GB2312" w:cs="仿宋_GB2312" w:eastAsia="仿宋_GB2312"/>
                <w:sz w:val="21"/>
              </w:rPr>
              <w:t>相结合</w:t>
            </w:r>
            <w:r>
              <w:rPr>
                <w:rFonts w:ascii="仿宋_GB2312" w:hAnsi="仿宋_GB2312" w:cs="仿宋_GB2312" w:eastAsia="仿宋_GB2312"/>
                <w:sz w:val="21"/>
              </w:rPr>
              <w:t>，</w:t>
            </w:r>
            <w:r>
              <w:rPr>
                <w:rFonts w:ascii="仿宋_GB2312" w:hAnsi="仿宋_GB2312" w:cs="仿宋_GB2312" w:eastAsia="仿宋_GB2312"/>
                <w:sz w:val="21"/>
              </w:rPr>
              <w:t>单位考核与社会监督相结合。</w:t>
            </w:r>
          </w:p>
          <w:p>
            <w:pPr>
              <w:pStyle w:val="null3"/>
              <w:ind w:firstLine="422"/>
              <w:jc w:val="both"/>
            </w:pPr>
            <w:r>
              <w:rPr>
                <w:rFonts w:ascii="仿宋_GB2312" w:hAnsi="仿宋_GB2312" w:cs="仿宋_GB2312" w:eastAsia="仿宋_GB2312"/>
                <w:sz w:val="21"/>
                <w:b/>
              </w:rPr>
              <w:t>第五条</w:t>
            </w:r>
            <w:r>
              <w:rPr>
                <w:rFonts w:ascii="仿宋_GB2312" w:hAnsi="仿宋_GB2312" w:cs="仿宋_GB2312" w:eastAsia="仿宋_GB2312"/>
                <w:sz w:val="21"/>
              </w:rPr>
              <w:t>考核实行月度考核，核算每月服务费用；年度综合考核，评估运营绩效。</w:t>
            </w:r>
          </w:p>
          <w:p>
            <w:pPr>
              <w:pStyle w:val="null3"/>
              <w:ind w:firstLine="420"/>
              <w:jc w:val="both"/>
            </w:pPr>
            <w:r>
              <w:rPr>
                <w:rFonts w:ascii="仿宋_GB2312" w:hAnsi="仿宋_GB2312" w:cs="仿宋_GB2312" w:eastAsia="仿宋_GB2312"/>
                <w:sz w:val="21"/>
              </w:rPr>
              <w:t>第二章</w:t>
            </w:r>
            <w:r>
              <w:rPr>
                <w:rFonts w:ascii="仿宋_GB2312" w:hAnsi="仿宋_GB2312" w:cs="仿宋_GB2312" w:eastAsia="仿宋_GB2312"/>
                <w:sz w:val="21"/>
              </w:rPr>
              <w:t>考核内容与评分标准</w:t>
            </w:r>
          </w:p>
          <w:p>
            <w:pPr>
              <w:pStyle w:val="null3"/>
              <w:ind w:firstLine="422"/>
              <w:jc w:val="both"/>
            </w:pPr>
            <w:r>
              <w:rPr>
                <w:rFonts w:ascii="仿宋_GB2312" w:hAnsi="仿宋_GB2312" w:cs="仿宋_GB2312" w:eastAsia="仿宋_GB2312"/>
                <w:sz w:val="21"/>
                <w:b/>
              </w:rPr>
              <w:t>第六条</w:t>
            </w:r>
            <w:r>
              <w:rPr>
                <w:rFonts w:ascii="仿宋_GB2312" w:hAnsi="仿宋_GB2312" w:cs="仿宋_GB2312" w:eastAsia="仿宋_GB2312"/>
                <w:sz w:val="21"/>
              </w:rPr>
              <w:t xml:space="preserve"> </w:t>
            </w:r>
            <w:r>
              <w:rPr>
                <w:rFonts w:ascii="仿宋_GB2312" w:hAnsi="仿宋_GB2312" w:cs="仿宋_GB2312" w:eastAsia="仿宋_GB2312"/>
                <w:sz w:val="21"/>
              </w:rPr>
              <w:t>考核总分值为</w:t>
            </w:r>
            <w:r>
              <w:rPr>
                <w:rFonts w:ascii="仿宋_GB2312" w:hAnsi="仿宋_GB2312" w:cs="仿宋_GB2312" w:eastAsia="仿宋_GB2312"/>
                <w:sz w:val="21"/>
              </w:rPr>
              <w:t>100分，主要考核收运作业质量、安全生产管理、环境保护要求、yu情与信访稳定等4方面。具体内容及评分标准如下：</w:t>
            </w:r>
          </w:p>
          <w:p>
            <w:pPr>
              <w:pStyle w:val="null3"/>
              <w:ind w:firstLine="422"/>
              <w:jc w:val="both"/>
            </w:pPr>
            <w:r>
              <w:rPr>
                <w:rFonts w:ascii="仿宋_GB2312" w:hAnsi="仿宋_GB2312" w:cs="仿宋_GB2312" w:eastAsia="仿宋_GB2312"/>
                <w:sz w:val="21"/>
                <w:b/>
              </w:rPr>
              <w:t>（一）</w:t>
            </w:r>
            <w:r>
              <w:rPr>
                <w:rFonts w:ascii="仿宋_GB2312" w:hAnsi="仿宋_GB2312" w:cs="仿宋_GB2312" w:eastAsia="仿宋_GB2312"/>
                <w:sz w:val="21"/>
                <w:b/>
              </w:rPr>
              <w:t>收运作业质量（</w:t>
            </w:r>
            <w:r>
              <w:rPr>
                <w:rFonts w:ascii="仿宋_GB2312" w:hAnsi="仿宋_GB2312" w:cs="仿宋_GB2312" w:eastAsia="仿宋_GB2312"/>
                <w:sz w:val="21"/>
                <w:b/>
              </w:rPr>
              <w:t>45分）</w:t>
            </w:r>
          </w:p>
          <w:p>
            <w:pPr>
              <w:pStyle w:val="null3"/>
              <w:ind w:firstLine="420"/>
              <w:jc w:val="both"/>
            </w:pPr>
            <w:r>
              <w:rPr>
                <w:rFonts w:ascii="仿宋_GB2312" w:hAnsi="仿宋_GB2312" w:cs="仿宋_GB2312" w:eastAsia="仿宋_GB2312"/>
                <w:sz w:val="21"/>
              </w:rPr>
              <w:t>1.收集及时性（12分）：按规定频次和路线进行收集，确保责任区域内生活垃圾无积存、无漏收。发现一处积存或漏收，扣2分；因收集不及时导致群众投诉并经查属实的，每次扣3分。</w:t>
            </w:r>
          </w:p>
          <w:p>
            <w:pPr>
              <w:pStyle w:val="null3"/>
              <w:ind w:firstLine="420"/>
              <w:jc w:val="both"/>
            </w:pPr>
            <w:r>
              <w:rPr>
                <w:rFonts w:ascii="仿宋_GB2312" w:hAnsi="仿宋_GB2312" w:cs="仿宋_GB2312" w:eastAsia="仿宋_GB2312"/>
                <w:sz w:val="21"/>
              </w:rPr>
              <w:t>2.转运规范性（12分）：垃圾转运车辆必须密闭运输，车容整洁，无吊挂、无污垢。运输过程中无垃圾扬、撒、拖、挂和污水滴漏现象。发现一次不符合要求，扣2分；造成路面污染的，每次扣5分。</w:t>
            </w:r>
          </w:p>
          <w:p>
            <w:pPr>
              <w:pStyle w:val="null3"/>
              <w:ind w:firstLine="420"/>
              <w:jc w:val="both"/>
            </w:pPr>
            <w:r>
              <w:rPr>
                <w:rFonts w:ascii="仿宋_GB2312" w:hAnsi="仿宋_GB2312" w:cs="仿宋_GB2312" w:eastAsia="仿宋_GB2312"/>
                <w:sz w:val="21"/>
              </w:rPr>
              <w:t>3.设施维护与管理（8分）：负责管理的垃圾收集点、中转站等设施设备保持完好、整洁，定期进行消杀、除臭。发现设施损坏未及时报修或维护不到位的，每处扣1分；环境脏乱、异味扰民的，每处扣2分。</w:t>
            </w:r>
          </w:p>
          <w:p>
            <w:pPr>
              <w:pStyle w:val="null3"/>
              <w:ind w:firstLine="420"/>
              <w:jc w:val="both"/>
            </w:pPr>
            <w:r>
              <w:rPr>
                <w:rFonts w:ascii="仿宋_GB2312" w:hAnsi="仿宋_GB2312" w:cs="仿宋_GB2312" w:eastAsia="仿宋_GB2312"/>
                <w:sz w:val="21"/>
              </w:rPr>
              <w:t>4.车辆调度与管理（8分）：建立高效的车辆调度机制，确保运力充足、调度合理，满足日常及应急情况下的收运需求。因车辆调度不当导致收运延误或区域服务空白的，每次扣3分。车辆卫星定位等监控设备保持在线且数据有效，发现异常未及时处理的，每次扣1分。</w:t>
            </w:r>
          </w:p>
          <w:p>
            <w:pPr>
              <w:pStyle w:val="null3"/>
              <w:ind w:firstLine="420"/>
              <w:jc w:val="both"/>
            </w:pPr>
            <w:r>
              <w:rPr>
                <w:rFonts w:ascii="仿宋_GB2312" w:hAnsi="仿宋_GB2312" w:cs="仿宋_GB2312" w:eastAsia="仿宋_GB2312"/>
                <w:sz w:val="21"/>
              </w:rPr>
              <w:t>5.台账与信息报送（5分）：建立完善的收运台账记录，准确记录垃圾来源、种类、数量、去向等信息，并按要求及时向主管部门报送相关数据和信息。台账不健全、数据不准确或报送不及时的，视情况扣1-3分。</w:t>
            </w:r>
          </w:p>
          <w:p>
            <w:pPr>
              <w:pStyle w:val="null3"/>
              <w:ind w:firstLine="422"/>
              <w:jc w:val="both"/>
            </w:pPr>
            <w:r>
              <w:rPr>
                <w:rFonts w:ascii="仿宋_GB2312" w:hAnsi="仿宋_GB2312" w:cs="仿宋_GB2312" w:eastAsia="仿宋_GB2312"/>
                <w:sz w:val="21"/>
                <w:b/>
              </w:rPr>
              <w:t>（二）安全生产管理（</w:t>
            </w:r>
            <w:r>
              <w:rPr>
                <w:rFonts w:ascii="仿宋_GB2312" w:hAnsi="仿宋_GB2312" w:cs="仿宋_GB2312" w:eastAsia="仿宋_GB2312"/>
                <w:sz w:val="21"/>
                <w:b/>
              </w:rPr>
              <w:t>25分）</w:t>
            </w:r>
          </w:p>
          <w:p>
            <w:pPr>
              <w:pStyle w:val="null3"/>
              <w:ind w:firstLine="420"/>
              <w:jc w:val="both"/>
            </w:pPr>
            <w:r>
              <w:rPr>
                <w:rFonts w:ascii="仿宋_GB2312" w:hAnsi="仿宋_GB2312" w:cs="仿宋_GB2312" w:eastAsia="仿宋_GB2312"/>
                <w:sz w:val="21"/>
              </w:rPr>
              <w:t>1.安全制度与培训（5分）：建立健全安全生产责任制、操作规程和应急预案，定期组织员工进行安全培训和应急演练。制度不健全或未有效落实的，扣2分；未按规定开展培训演练的，扣3分。</w:t>
            </w:r>
          </w:p>
          <w:p>
            <w:pPr>
              <w:pStyle w:val="null3"/>
              <w:ind w:firstLine="420"/>
              <w:jc w:val="both"/>
            </w:pPr>
            <w:r>
              <w:rPr>
                <w:rFonts w:ascii="仿宋_GB2312" w:hAnsi="仿宋_GB2312" w:cs="仿宋_GB2312" w:eastAsia="仿宋_GB2312"/>
                <w:sz w:val="21"/>
              </w:rPr>
              <w:t>2.作业安全（8分）：作业人员遵守安全操作规程，穿戴必要的安全防护装备；车辆设备符合安全运行标准，定期进行保养和检测。发现一次违规作业或安全防护不到位的，扣2分；发生一般性安全生产事故的，每次扣8分；发生较大及以上安全生产责任事故的，本项目不得分，并依法依规追究责任。</w:t>
            </w:r>
          </w:p>
          <w:p>
            <w:pPr>
              <w:pStyle w:val="null3"/>
              <w:ind w:firstLine="420"/>
              <w:jc w:val="both"/>
            </w:pPr>
            <w:r>
              <w:rPr>
                <w:rFonts w:ascii="仿宋_GB2312" w:hAnsi="仿宋_GB2312" w:cs="仿宋_GB2312" w:eastAsia="仿宋_GB2312"/>
                <w:sz w:val="21"/>
              </w:rPr>
              <w:t>3.隐患排查与整改（7分）：定期开展覆盖车辆、设施、场地、操作流程等的安全生产隐患排查，建立隐患台账，对发现的问题及时整改并记录，形成闭环管理。未定期开展排查扣3分；对隐患整改不力或未记录归档的，视情况扣2-4分。</w:t>
            </w:r>
          </w:p>
          <w:p>
            <w:pPr>
              <w:pStyle w:val="null3"/>
              <w:ind w:firstLine="420"/>
              <w:jc w:val="both"/>
            </w:pPr>
            <w:r>
              <w:rPr>
                <w:rFonts w:ascii="仿宋_GB2312" w:hAnsi="仿宋_GB2312" w:cs="仿宋_GB2312" w:eastAsia="仿宋_GB2312"/>
                <w:sz w:val="21"/>
              </w:rPr>
              <w:t>4.应急处置与值班值守（5分）：制定完善的应急处置预案，备齐应急物资，确保在突发事件（如安全事故、环境事件、极端天气等）发生时能迅速响应、有效处置。未制定预案或物资储备不足的，扣2分；处置不当造成后果的，每次扣3分。建立并执行领导带班和关键岗位24小时值班值守制度，确保通讯畅通。发现值班空岗或通讯不畅的，每次扣2分。</w:t>
            </w:r>
          </w:p>
          <w:p>
            <w:pPr>
              <w:pStyle w:val="null3"/>
              <w:ind w:firstLine="422"/>
              <w:jc w:val="both"/>
            </w:pPr>
            <w:r>
              <w:rPr>
                <w:rFonts w:ascii="仿宋_GB2312" w:hAnsi="仿宋_GB2312" w:cs="仿宋_GB2312" w:eastAsia="仿宋_GB2312"/>
                <w:sz w:val="21"/>
                <w:b/>
              </w:rPr>
              <w:t>（三）环境保护要求（</w:t>
            </w:r>
            <w:r>
              <w:rPr>
                <w:rFonts w:ascii="仿宋_GB2312" w:hAnsi="仿宋_GB2312" w:cs="仿宋_GB2312" w:eastAsia="仿宋_GB2312"/>
                <w:sz w:val="21"/>
                <w:b/>
              </w:rPr>
              <w:t>15分）</w:t>
            </w:r>
          </w:p>
          <w:p>
            <w:pPr>
              <w:pStyle w:val="null3"/>
              <w:ind w:firstLine="420"/>
              <w:jc w:val="both"/>
            </w:pPr>
            <w:r>
              <w:rPr>
                <w:rFonts w:ascii="仿宋_GB2312" w:hAnsi="仿宋_GB2312" w:cs="仿宋_GB2312" w:eastAsia="仿宋_GB2312"/>
                <w:sz w:val="21"/>
              </w:rPr>
              <w:t>1.污染防控（10分）：采取有效措施控制收运过程中的噪声、粉尘、废气及渗滤液等污染，避免对周边环境造成不良影响。因作业不当引发环境污染事件或群众环保类投诉并经查属实的，每次扣5分。</w:t>
            </w:r>
          </w:p>
          <w:p>
            <w:pPr>
              <w:pStyle w:val="null3"/>
              <w:ind w:firstLine="420"/>
              <w:jc w:val="both"/>
            </w:pPr>
            <w:r>
              <w:rPr>
                <w:rFonts w:ascii="仿宋_GB2312" w:hAnsi="仿宋_GB2312" w:cs="仿宋_GB2312" w:eastAsia="仿宋_GB2312"/>
                <w:sz w:val="21"/>
              </w:rPr>
              <w:t>2.合规处置（5分）：收集的生活垃圾必须运送至指定的处理场所进行合规处置。发现擅自倾倒、堆放或非法转移处置的，本项目不得分，并依法从重处理。</w:t>
            </w:r>
          </w:p>
          <w:p>
            <w:pPr>
              <w:pStyle w:val="null3"/>
              <w:ind w:firstLine="422"/>
              <w:jc w:val="both"/>
            </w:pPr>
            <w:r>
              <w:rPr>
                <w:rFonts w:ascii="仿宋_GB2312" w:hAnsi="仿宋_GB2312" w:cs="仿宋_GB2312" w:eastAsia="仿宋_GB2312"/>
                <w:sz w:val="21"/>
                <w:b/>
              </w:rPr>
              <w:t>（四）</w:t>
            </w:r>
            <w:r>
              <w:rPr>
                <w:rFonts w:ascii="仿宋_GB2312" w:hAnsi="仿宋_GB2312" w:cs="仿宋_GB2312" w:eastAsia="仿宋_GB2312"/>
                <w:sz w:val="21"/>
                <w:b/>
              </w:rPr>
              <w:t>yu情、稳定与信访及内部管理（15分）</w:t>
            </w:r>
          </w:p>
          <w:p>
            <w:pPr>
              <w:pStyle w:val="null3"/>
              <w:ind w:firstLine="420"/>
              <w:jc w:val="both"/>
            </w:pPr>
            <w:r>
              <w:rPr>
                <w:rFonts w:ascii="仿宋_GB2312" w:hAnsi="仿宋_GB2312" w:cs="仿宋_GB2312" w:eastAsia="仿宋_GB2312"/>
                <w:sz w:val="21"/>
              </w:rPr>
              <w:t>1.yu情应对（4分）：积极关注和应对涉及生活垃圾收运工作的网络yu情、媒体曝光等。因服务不到位等问题引发负面yu情，且应对不及时、处置不当造成不良影响的，每次扣2分。</w:t>
            </w:r>
          </w:p>
          <w:p>
            <w:pPr>
              <w:pStyle w:val="null3"/>
              <w:ind w:firstLine="420"/>
              <w:jc w:val="both"/>
            </w:pPr>
            <w:r>
              <w:rPr>
                <w:rFonts w:ascii="仿宋_GB2312" w:hAnsi="仿宋_GB2312" w:cs="仿宋_GB2312" w:eastAsia="仿宋_GB2312"/>
                <w:sz w:val="21"/>
              </w:rPr>
              <w:t>2.信访处理（4分）：及时、妥善处理群众通过各类渠道反映的关于生活垃圾收运的合理诉求和投诉。对主管部门转办的信访件，未在规定时限内办结或反馈，或处理不当导致重复投诉、越级信访的，每起扣2分。</w:t>
            </w:r>
          </w:p>
          <w:p>
            <w:pPr>
              <w:pStyle w:val="null3"/>
              <w:ind w:firstLine="420"/>
              <w:jc w:val="both"/>
            </w:pPr>
            <w:r>
              <w:rPr>
                <w:rFonts w:ascii="仿宋_GB2312" w:hAnsi="仿宋_GB2312" w:cs="仿宋_GB2312" w:eastAsia="仿宋_GB2312"/>
                <w:sz w:val="21"/>
              </w:rPr>
              <w:t>3.队伍稳定（4分）：保障员工合法权益，规范用工管理，及时化解内部矛盾，维护清运队伍稳定。因劳资纠纷、管理不善等原因引发群体性事件或造成严重社会影响的，本项目不得分。</w:t>
            </w:r>
          </w:p>
          <w:p>
            <w:pPr>
              <w:pStyle w:val="null3"/>
              <w:ind w:firstLine="420"/>
              <w:jc w:val="both"/>
            </w:pPr>
            <w:r>
              <w:rPr>
                <w:rFonts w:ascii="仿宋_GB2312" w:hAnsi="仿宋_GB2312" w:cs="仿宋_GB2312" w:eastAsia="仿宋_GB2312"/>
                <w:sz w:val="21"/>
              </w:rPr>
              <w:t>4.资料完善与归档（3分）：各项管理制度、操作规程、检查记录、培训记录、隐患排查整改台账、考核资料、合同文件等资料齐全、分类清晰、归档及时。资料缺失、混乱或未及时归档的，视情况扣1-3分。</w:t>
            </w:r>
          </w:p>
          <w:p>
            <w:pPr>
              <w:pStyle w:val="null3"/>
              <w:ind w:firstLine="420"/>
              <w:jc w:val="both"/>
            </w:pPr>
            <w:r>
              <w:rPr>
                <w:rFonts w:ascii="仿宋_GB2312" w:hAnsi="仿宋_GB2312" w:cs="仿宋_GB2312" w:eastAsia="仿宋_GB2312"/>
                <w:sz w:val="21"/>
              </w:rPr>
              <w:t>第三章</w:t>
            </w:r>
            <w:r>
              <w:rPr>
                <w:rFonts w:ascii="仿宋_GB2312" w:hAnsi="仿宋_GB2312" w:cs="仿宋_GB2312" w:eastAsia="仿宋_GB2312"/>
                <w:sz w:val="21"/>
              </w:rPr>
              <w:t>考核方式与程序</w:t>
            </w:r>
          </w:p>
          <w:p>
            <w:pPr>
              <w:pStyle w:val="null3"/>
              <w:ind w:firstLine="422"/>
              <w:jc w:val="both"/>
            </w:pPr>
            <w:r>
              <w:rPr>
                <w:rFonts w:ascii="仿宋_GB2312" w:hAnsi="仿宋_GB2312" w:cs="仿宋_GB2312" w:eastAsia="仿宋_GB2312"/>
                <w:sz w:val="21"/>
                <w:b/>
              </w:rPr>
              <w:t>第七条</w:t>
            </w:r>
            <w:r>
              <w:rPr>
                <w:rFonts w:ascii="仿宋_GB2312" w:hAnsi="仿宋_GB2312" w:cs="仿宋_GB2312" w:eastAsia="仿宋_GB2312"/>
                <w:sz w:val="21"/>
              </w:rPr>
              <w:t>市城市管理执法局委托主管科室、下属单位具体负责考核。</w:t>
            </w:r>
          </w:p>
          <w:p>
            <w:pPr>
              <w:pStyle w:val="null3"/>
              <w:ind w:firstLine="422"/>
              <w:jc w:val="both"/>
            </w:pPr>
            <w:r>
              <w:rPr>
                <w:rFonts w:ascii="仿宋_GB2312" w:hAnsi="仿宋_GB2312" w:cs="仿宋_GB2312" w:eastAsia="仿宋_GB2312"/>
                <w:sz w:val="21"/>
                <w:b/>
              </w:rPr>
              <w:t>第八条</w:t>
            </w:r>
            <w:r>
              <w:rPr>
                <w:rFonts w:ascii="仿宋_GB2312" w:hAnsi="仿宋_GB2312" w:cs="仿宋_GB2312" w:eastAsia="仿宋_GB2312"/>
                <w:sz w:val="21"/>
              </w:rPr>
              <w:t xml:space="preserve"> </w:t>
            </w:r>
            <w:r>
              <w:rPr>
                <w:rFonts w:ascii="仿宋_GB2312" w:hAnsi="仿宋_GB2312" w:cs="仿宋_GB2312" w:eastAsia="仿宋_GB2312"/>
                <w:sz w:val="21"/>
              </w:rPr>
              <w:t>考核采取以下方式进行：</w:t>
            </w:r>
          </w:p>
          <w:p>
            <w:pPr>
              <w:pStyle w:val="null3"/>
              <w:ind w:firstLine="420"/>
              <w:jc w:val="both"/>
            </w:pPr>
            <w:r>
              <w:rPr>
                <w:rFonts w:ascii="仿宋_GB2312" w:hAnsi="仿宋_GB2312" w:cs="仿宋_GB2312" w:eastAsia="仿宋_GB2312"/>
                <w:sz w:val="21"/>
              </w:rPr>
              <w:t>1.日常巡查：</w:t>
            </w:r>
            <w:r>
              <w:rPr>
                <w:rFonts w:ascii="仿宋_GB2312" w:hAnsi="仿宋_GB2312" w:cs="仿宋_GB2312" w:eastAsia="仿宋_GB2312"/>
                <w:sz w:val="21"/>
              </w:rPr>
              <w:t>市城市管理执法局、各镇办</w:t>
            </w:r>
            <w:r>
              <w:rPr>
                <w:rFonts w:ascii="仿宋_GB2312" w:hAnsi="仿宋_GB2312" w:cs="仿宋_GB2312" w:eastAsia="仿宋_GB2312"/>
                <w:sz w:val="21"/>
              </w:rPr>
              <w:t>组织人员不定期进行现场巡查、抽查，记录发现问题。</w:t>
            </w:r>
          </w:p>
          <w:p>
            <w:pPr>
              <w:pStyle w:val="null3"/>
              <w:ind w:firstLine="420"/>
              <w:jc w:val="both"/>
            </w:pPr>
            <w:r>
              <w:rPr>
                <w:rFonts w:ascii="仿宋_GB2312" w:hAnsi="仿宋_GB2312" w:cs="仿宋_GB2312" w:eastAsia="仿宋_GB2312"/>
                <w:sz w:val="21"/>
              </w:rPr>
              <w:t>2.定期考核：每月进行一次集中考核。市城市管理执法局结合日常巡查记录、台账资料、监控数据、信访投诉和各镇办考核等情况进行综合评分。</w:t>
            </w:r>
          </w:p>
          <w:p>
            <w:pPr>
              <w:pStyle w:val="null3"/>
              <w:ind w:firstLine="420"/>
              <w:jc w:val="both"/>
            </w:pPr>
            <w:r>
              <w:rPr>
                <w:rFonts w:ascii="仿宋_GB2312" w:hAnsi="仿宋_GB2312" w:cs="仿宋_GB2312" w:eastAsia="仿宋_GB2312"/>
                <w:sz w:val="21"/>
              </w:rPr>
              <w:t>3.社会评议：通过群众满意度调查、随机访问等方式，了解社会评价。</w:t>
            </w:r>
          </w:p>
          <w:p>
            <w:pPr>
              <w:pStyle w:val="null3"/>
              <w:ind w:firstLine="420"/>
              <w:jc w:val="both"/>
            </w:pPr>
            <w:r>
              <w:rPr>
                <w:rFonts w:ascii="仿宋_GB2312" w:hAnsi="仿宋_GB2312" w:cs="仿宋_GB2312" w:eastAsia="仿宋_GB2312"/>
                <w:sz w:val="21"/>
              </w:rPr>
              <w:t>4.专项检查：针对安全生产、环境保护、车辆调度、资料管理等重点领域开展专项检查。</w:t>
            </w:r>
          </w:p>
          <w:p>
            <w:pPr>
              <w:pStyle w:val="null3"/>
              <w:ind w:firstLine="422"/>
              <w:jc w:val="both"/>
            </w:pPr>
            <w:r>
              <w:rPr>
                <w:rFonts w:ascii="仿宋_GB2312" w:hAnsi="仿宋_GB2312" w:cs="仿宋_GB2312" w:eastAsia="仿宋_GB2312"/>
                <w:sz w:val="21"/>
                <w:b/>
              </w:rPr>
              <w:t>第九条</w:t>
            </w:r>
            <w:r>
              <w:rPr>
                <w:rFonts w:ascii="仿宋_GB2312" w:hAnsi="仿宋_GB2312" w:cs="仿宋_GB2312" w:eastAsia="仿宋_GB2312"/>
                <w:sz w:val="21"/>
                <w:b/>
              </w:rPr>
              <w:t>考核程序：</w:t>
            </w:r>
          </w:p>
          <w:p>
            <w:pPr>
              <w:pStyle w:val="null3"/>
              <w:ind w:firstLine="420"/>
              <w:jc w:val="both"/>
            </w:pPr>
            <w:r>
              <w:rPr>
                <w:rFonts w:ascii="仿宋_GB2312" w:hAnsi="仿宋_GB2312" w:cs="仿宋_GB2312" w:eastAsia="仿宋_GB2312"/>
                <w:sz w:val="21"/>
              </w:rPr>
              <w:t>1.市城市管理执法局提前通知考核时间，由主管科室及下属单位组成考核组（定期考核）。</w:t>
            </w:r>
          </w:p>
          <w:p>
            <w:pPr>
              <w:pStyle w:val="null3"/>
              <w:ind w:firstLine="420"/>
              <w:jc w:val="both"/>
            </w:pPr>
            <w:r>
              <w:rPr>
                <w:rFonts w:ascii="仿宋_GB2312" w:hAnsi="仿宋_GB2312" w:cs="仿宋_GB2312" w:eastAsia="仿宋_GB2312"/>
                <w:sz w:val="21"/>
              </w:rPr>
              <w:t>2.转运公司根据考核内容进行自查自评，准备相关资料。</w:t>
            </w:r>
          </w:p>
          <w:p>
            <w:pPr>
              <w:pStyle w:val="null3"/>
              <w:ind w:firstLine="420"/>
              <w:jc w:val="both"/>
            </w:pPr>
            <w:r>
              <w:rPr>
                <w:rFonts w:ascii="仿宋_GB2312" w:hAnsi="仿宋_GB2312" w:cs="仿宋_GB2312" w:eastAsia="仿宋_GB2312"/>
                <w:sz w:val="21"/>
              </w:rPr>
              <w:t>3.考核组通过听取汇报、查阅资料、现场检查、走访座谈等方式进行考核。</w:t>
            </w:r>
          </w:p>
          <w:p>
            <w:pPr>
              <w:pStyle w:val="null3"/>
              <w:ind w:firstLine="420"/>
              <w:jc w:val="both"/>
            </w:pPr>
            <w:r>
              <w:rPr>
                <w:rFonts w:ascii="仿宋_GB2312" w:hAnsi="仿宋_GB2312" w:cs="仿宋_GB2312" w:eastAsia="仿宋_GB2312"/>
                <w:sz w:val="21"/>
              </w:rPr>
              <w:t>4.考核组汇总情况，形成初步考核结果和意见。</w:t>
            </w:r>
          </w:p>
          <w:p>
            <w:pPr>
              <w:pStyle w:val="null3"/>
              <w:ind w:firstLine="420"/>
              <w:jc w:val="both"/>
            </w:pPr>
            <w:r>
              <w:rPr>
                <w:rFonts w:ascii="仿宋_GB2312" w:hAnsi="仿宋_GB2312" w:cs="仿宋_GB2312" w:eastAsia="仿宋_GB2312"/>
                <w:sz w:val="21"/>
              </w:rPr>
              <w:t>5.向转运公司反馈初步考核结果，听取其陈述和申辩，并进行复核。</w:t>
            </w:r>
          </w:p>
          <w:p>
            <w:pPr>
              <w:pStyle w:val="null3"/>
              <w:ind w:firstLine="420"/>
              <w:jc w:val="both"/>
            </w:pPr>
            <w:r>
              <w:rPr>
                <w:rFonts w:ascii="仿宋_GB2312" w:hAnsi="仿宋_GB2312" w:cs="仿宋_GB2312" w:eastAsia="仿宋_GB2312"/>
                <w:sz w:val="21"/>
              </w:rPr>
              <w:t>6.市城市管理执法局审定并公布最终考核结果。</w:t>
            </w:r>
          </w:p>
          <w:p>
            <w:pPr>
              <w:pStyle w:val="null3"/>
              <w:ind w:firstLine="420"/>
              <w:jc w:val="both"/>
            </w:pPr>
            <w:r>
              <w:rPr>
                <w:rFonts w:ascii="仿宋_GB2312" w:hAnsi="仿宋_GB2312" w:cs="仿宋_GB2312" w:eastAsia="仿宋_GB2312"/>
                <w:sz w:val="21"/>
              </w:rPr>
              <w:t>第四章</w:t>
            </w:r>
            <w:r>
              <w:rPr>
                <w:rFonts w:ascii="仿宋_GB2312" w:hAnsi="仿宋_GB2312" w:cs="仿宋_GB2312" w:eastAsia="仿宋_GB2312"/>
                <w:sz w:val="21"/>
              </w:rPr>
              <w:t>考核结果应用</w:t>
            </w:r>
          </w:p>
          <w:p>
            <w:pPr>
              <w:pStyle w:val="null3"/>
              <w:ind w:firstLine="422"/>
              <w:jc w:val="both"/>
            </w:pPr>
            <w:r>
              <w:rPr>
                <w:rFonts w:ascii="仿宋_GB2312" w:hAnsi="仿宋_GB2312" w:cs="仿宋_GB2312" w:eastAsia="仿宋_GB2312"/>
                <w:sz w:val="21"/>
                <w:b/>
              </w:rPr>
              <w:t>第十条</w:t>
            </w:r>
            <w:r>
              <w:rPr>
                <w:rFonts w:ascii="仿宋_GB2312" w:hAnsi="仿宋_GB2312" w:cs="仿宋_GB2312" w:eastAsia="仿宋_GB2312"/>
                <w:sz w:val="21"/>
              </w:rPr>
              <w:t>考核结果分为优秀（</w:t>
            </w:r>
            <w:r>
              <w:rPr>
                <w:rFonts w:ascii="仿宋_GB2312" w:hAnsi="仿宋_GB2312" w:cs="仿宋_GB2312" w:eastAsia="仿宋_GB2312"/>
                <w:sz w:val="21"/>
              </w:rPr>
              <w:t>90分及以上）、良好（80-89分）、合格（70-79分）、不合格</w:t>
            </w:r>
            <w:r>
              <w:rPr>
                <w:rFonts w:ascii="仿宋_GB2312" w:hAnsi="仿宋_GB2312" w:cs="仿宋_GB2312" w:eastAsia="仿宋_GB2312"/>
                <w:sz w:val="21"/>
              </w:rPr>
              <w:t>（</w:t>
            </w:r>
            <w:r>
              <w:rPr>
                <w:rFonts w:ascii="仿宋_GB2312" w:hAnsi="仿宋_GB2312" w:cs="仿宋_GB2312" w:eastAsia="仿宋_GB2312"/>
                <w:sz w:val="21"/>
              </w:rPr>
              <w:t>70分以下）</w:t>
            </w:r>
            <w:r>
              <w:rPr>
                <w:rFonts w:ascii="仿宋_GB2312" w:hAnsi="仿宋_GB2312" w:cs="仿宋_GB2312" w:eastAsia="仿宋_GB2312"/>
                <w:sz w:val="21"/>
              </w:rPr>
              <w:t>四个等次。</w:t>
            </w:r>
          </w:p>
          <w:p>
            <w:pPr>
              <w:pStyle w:val="null3"/>
              <w:ind w:firstLine="422"/>
              <w:jc w:val="both"/>
            </w:pPr>
            <w:r>
              <w:rPr>
                <w:rFonts w:ascii="仿宋_GB2312" w:hAnsi="仿宋_GB2312" w:cs="仿宋_GB2312" w:eastAsia="仿宋_GB2312"/>
                <w:sz w:val="21"/>
                <w:b/>
              </w:rPr>
              <w:t>第十一条</w:t>
            </w:r>
            <w:r>
              <w:rPr>
                <w:rFonts w:ascii="仿宋_GB2312" w:hAnsi="仿宋_GB2312" w:cs="仿宋_GB2312" w:eastAsia="仿宋_GB2312"/>
                <w:sz w:val="21"/>
              </w:rPr>
              <w:t xml:space="preserve"> </w:t>
            </w:r>
            <w:r>
              <w:rPr>
                <w:rFonts w:ascii="仿宋_GB2312" w:hAnsi="仿宋_GB2312" w:cs="仿宋_GB2312" w:eastAsia="仿宋_GB2312"/>
                <w:sz w:val="21"/>
              </w:rPr>
              <w:t>考核结果与服务费用支付、合同续签等挂钩：</w:t>
            </w:r>
          </w:p>
          <w:p>
            <w:pPr>
              <w:pStyle w:val="null3"/>
              <w:ind w:firstLine="420"/>
              <w:jc w:val="both"/>
            </w:pPr>
            <w:r>
              <w:rPr>
                <w:rFonts w:ascii="仿宋_GB2312" w:hAnsi="仿宋_GB2312" w:cs="仿宋_GB2312" w:eastAsia="仿宋_GB2312"/>
                <w:sz w:val="21"/>
              </w:rPr>
              <w:t>1.考核结果为优秀、良好的，按合同约定全额支付</w:t>
            </w:r>
            <w:r>
              <w:rPr>
                <w:rFonts w:ascii="仿宋_GB2312" w:hAnsi="仿宋_GB2312" w:cs="仿宋_GB2312" w:eastAsia="仿宋_GB2312"/>
                <w:sz w:val="21"/>
              </w:rPr>
              <w:t>考核月度</w:t>
            </w:r>
            <w:r>
              <w:rPr>
                <w:rFonts w:ascii="仿宋_GB2312" w:hAnsi="仿宋_GB2312" w:cs="仿宋_GB2312" w:eastAsia="仿宋_GB2312"/>
                <w:sz w:val="21"/>
              </w:rPr>
              <w:t>服务费用，并可通报表扬。</w:t>
            </w:r>
          </w:p>
          <w:p>
            <w:pPr>
              <w:pStyle w:val="null3"/>
              <w:ind w:firstLine="420"/>
              <w:jc w:val="both"/>
            </w:pPr>
            <w:r>
              <w:rPr>
                <w:rFonts w:ascii="仿宋_GB2312" w:hAnsi="仿宋_GB2312" w:cs="仿宋_GB2312" w:eastAsia="仿宋_GB2312"/>
                <w:sz w:val="21"/>
              </w:rPr>
              <w:t>2.考核结果为合格的，按合同约定支付考核月度服务费用，但需对存在问题限期整改到位。</w:t>
            </w:r>
          </w:p>
          <w:p>
            <w:pPr>
              <w:pStyle w:val="null3"/>
              <w:ind w:firstLine="420"/>
              <w:jc w:val="both"/>
            </w:pPr>
            <w:r>
              <w:rPr>
                <w:rFonts w:ascii="仿宋_GB2312" w:hAnsi="仿宋_GB2312" w:cs="仿宋_GB2312" w:eastAsia="仿宋_GB2312"/>
                <w:sz w:val="21"/>
              </w:rPr>
              <w:t>3.考核结果为不合格（70分以下）的，根据合同约定，每低1分，扣减考核月度服务费用1%并不设下限；由市城市管理执法局下达限期整改通知书，逾期未整改或整改不到位的，可依据合同约定启动违约处理程序，直至解除服务合同。</w:t>
            </w:r>
          </w:p>
          <w:p>
            <w:pPr>
              <w:pStyle w:val="null3"/>
              <w:ind w:firstLine="420"/>
              <w:jc w:val="both"/>
            </w:pPr>
            <w:r>
              <w:rPr>
                <w:rFonts w:ascii="仿宋_GB2312" w:hAnsi="仿宋_GB2312" w:cs="仿宋_GB2312" w:eastAsia="仿宋_GB2312"/>
                <w:sz w:val="21"/>
              </w:rPr>
              <w:t>4.对因管理不善、玩忽职守导致发生重大安全生产事故、重大环境污染事件或重大群体性事件，造成严重后果及恶劣影响的，考核月度直接评定为不合格，并由转运公司承担全部法律责任和经济责任。</w:t>
            </w:r>
          </w:p>
          <w:p>
            <w:pPr>
              <w:pStyle w:val="null3"/>
              <w:ind w:firstLine="420"/>
              <w:jc w:val="both"/>
            </w:pPr>
            <w:r>
              <w:rPr>
                <w:rFonts w:ascii="仿宋_GB2312" w:hAnsi="仿宋_GB2312" w:cs="仿宋_GB2312" w:eastAsia="仿宋_GB2312"/>
                <w:sz w:val="21"/>
              </w:rPr>
              <w:t>5.转运公司年度综合考核评定为合格及以上的，续签下一年度服务合同；如连续3个月或年度内累计6个月考核不合格，主管部门有权依据合同约定解除服务合同，重新实施招标。</w:t>
            </w:r>
          </w:p>
          <w:p>
            <w:pPr>
              <w:pStyle w:val="null3"/>
              <w:ind w:firstLine="420"/>
              <w:jc w:val="both"/>
            </w:pPr>
            <w:r>
              <w:rPr>
                <w:rFonts w:ascii="仿宋_GB2312" w:hAnsi="仿宋_GB2312" w:cs="仿宋_GB2312" w:eastAsia="仿宋_GB2312"/>
                <w:sz w:val="21"/>
              </w:rPr>
              <w:t>第五章</w:t>
            </w:r>
            <w:r>
              <w:rPr>
                <w:rFonts w:ascii="仿宋_GB2312" w:hAnsi="仿宋_GB2312" w:cs="仿宋_GB2312" w:eastAsia="仿宋_GB2312"/>
                <w:sz w:val="21"/>
              </w:rPr>
              <w:t>附则</w:t>
            </w:r>
          </w:p>
          <w:p>
            <w:pPr>
              <w:pStyle w:val="null3"/>
              <w:ind w:firstLine="420"/>
              <w:jc w:val="both"/>
            </w:pPr>
            <w:r>
              <w:rPr>
                <w:rFonts w:ascii="仿宋_GB2312" w:hAnsi="仿宋_GB2312" w:cs="仿宋_GB2312" w:eastAsia="仿宋_GB2312"/>
                <w:sz w:val="21"/>
              </w:rPr>
              <w:t>第十二条</w:t>
            </w:r>
            <w:r>
              <w:rPr>
                <w:rFonts w:ascii="仿宋_GB2312" w:hAnsi="仿宋_GB2312" w:cs="仿宋_GB2312" w:eastAsia="仿宋_GB2312"/>
                <w:sz w:val="21"/>
              </w:rPr>
              <w:t xml:space="preserve">  </w:t>
            </w:r>
            <w:r>
              <w:rPr>
                <w:rFonts w:ascii="仿宋_GB2312" w:hAnsi="仿宋_GB2312" w:cs="仿宋_GB2312" w:eastAsia="仿宋_GB2312"/>
                <w:sz w:val="21"/>
              </w:rPr>
              <w:t>本办法由市城市管理执法局负责解释并可根据实际运营情况进行修订完善。</w:t>
            </w:r>
          </w:p>
          <w:p>
            <w:pPr>
              <w:pStyle w:val="null3"/>
              <w:ind w:firstLine="420"/>
              <w:jc w:val="both"/>
            </w:pPr>
            <w:r>
              <w:rPr>
                <w:rFonts w:ascii="仿宋_GB2312" w:hAnsi="仿宋_GB2312" w:cs="仿宋_GB2312" w:eastAsia="仿宋_GB2312"/>
                <w:sz w:val="21"/>
              </w:rPr>
              <w:t>第十三条</w:t>
            </w:r>
            <w:r>
              <w:rPr>
                <w:rFonts w:ascii="仿宋_GB2312" w:hAnsi="仿宋_GB2312" w:cs="仿宋_GB2312" w:eastAsia="仿宋_GB2312"/>
                <w:sz w:val="21"/>
              </w:rPr>
              <w:t xml:space="preserve">  </w:t>
            </w:r>
            <w:r>
              <w:rPr>
                <w:rFonts w:ascii="仿宋_GB2312" w:hAnsi="仿宋_GB2312" w:cs="仿宋_GB2312" w:eastAsia="仿宋_GB2312"/>
                <w:sz w:val="21"/>
              </w:rPr>
              <w:t>本办法自服务合同签订之日起施行，至服务合同到期之日终止。</w:t>
            </w:r>
          </w:p>
          <w:p>
            <w:pPr>
              <w:pStyle w:val="null3"/>
              <w:ind w:firstLine="420"/>
              <w:jc w:val="both"/>
            </w:pPr>
            <w:r>
              <w:rPr>
                <w:rFonts w:ascii="仿宋_GB2312" w:hAnsi="仿宋_GB2312" w:cs="仿宋_GB2312" w:eastAsia="仿宋_GB2312"/>
                <w:sz w:val="21"/>
              </w:rPr>
              <w:t>韩城市城市管理执法局</w:t>
            </w:r>
          </w:p>
          <w:p>
            <w:pPr>
              <w:pStyle w:val="null3"/>
              <w:ind w:firstLine="5880"/>
              <w:jc w:val="both"/>
            </w:pPr>
            <w:r>
              <w:rPr>
                <w:rFonts w:ascii="仿宋_GB2312" w:hAnsi="仿宋_GB2312" w:cs="仿宋_GB2312" w:eastAsia="仿宋_GB2312"/>
                <w:sz w:val="32"/>
              </w:rPr>
              <w:t>附件</w:t>
            </w:r>
            <w:r>
              <w:rPr>
                <w:rFonts w:ascii="仿宋_GB2312" w:hAnsi="仿宋_GB2312" w:cs="仿宋_GB2312" w:eastAsia="仿宋_GB2312"/>
                <w:sz w:val="32"/>
              </w:rPr>
              <w:t>1：《韩城市城乡生活垃圾收运处置体系规划》说明书</w:t>
            </w:r>
          </w:p>
          <w:p>
            <w:pPr>
              <w:pStyle w:val="null3"/>
              <w:jc w:val="left"/>
            </w:pPr>
            <w:r>
              <w:rPr>
                <w:rFonts w:ascii="仿宋_GB2312" w:hAnsi="仿宋_GB2312" w:cs="仿宋_GB2312" w:eastAsia="仿宋_GB2312"/>
                <w:sz w:val="32"/>
              </w:rPr>
              <w:t>附件</w:t>
            </w:r>
            <w:r>
              <w:rPr>
                <w:rFonts w:ascii="仿宋_GB2312" w:hAnsi="仿宋_GB2312" w:cs="仿宋_GB2312" w:eastAsia="仿宋_GB2312"/>
                <w:sz w:val="32"/>
              </w:rPr>
              <w:t>2：《韩城市城乡生活垃圾收运处置体系规划》文本·图件</w:t>
            </w:r>
          </w:p>
          <w:p>
            <w:pPr>
              <w:pStyle w:val="null3"/>
              <w:jc w:val="left"/>
            </w:pPr>
            <w:r>
              <w:rPr>
                <w:rFonts w:ascii="仿宋_GB2312" w:hAnsi="仿宋_GB2312" w:cs="仿宋_GB2312" w:eastAsia="仿宋_GB2312"/>
                <w:sz w:val="32"/>
              </w:rPr>
              <w:t>附件</w:t>
            </w:r>
            <w:r>
              <w:rPr>
                <w:rFonts w:ascii="仿宋_GB2312" w:hAnsi="仿宋_GB2312" w:cs="仿宋_GB2312" w:eastAsia="仿宋_GB2312"/>
                <w:sz w:val="32"/>
              </w:rPr>
              <w:t>3：《指挥调度中心项目方案设计》</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生活垃圾收集车辆及收集设施采购、镇村生活垃圾调度中心及配套设施建设需要运营公司投资且额度较大，借鉴各地成功案例，委托服务周期采用3+2（年）模式较为合理合法，即：先与中标运营方签订3年期的政府购买服务合同，三年服务期满后，如果运营方在全周期考核合格，且双方相关事项无争议，达到预期运营效果后，经主管部门报市政府批准同意，可以续签两年合同，服务费用按第一次政府购买服务招标中标单价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韩城市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依据《韩城市镇村生活垃圾收集转运工作考核办法（试行）》对供应商进行考核。转运公司年度综合考核评定为合格及以上的，续签下一年度服务合同；如连续3个月或年度内累计6个月考核不合格，主管部门有权依据合同约定解除服务合同，重新实施招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服务单价和每月实际收运至压缩站生活垃圾量，运营公司次月10日前与主管部门核算垃圾收运量并结算上月运营费用。双方确认无争议后，运营公司提供正式发票，由主管部门申请市财政资金，每月服务费用支付周期原则上不超过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服务单价和每月实际收运至压缩站生活垃圾量，运营公司次月10日前与主管部门核算垃圾收运量并结算上月运营费用。双方确认无争议后，运营公司提供正式发票，由主管部门申请市财政资金，每月服务费用支付周期原则上不超过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服务单价和每月实际收运至压缩站生活垃圾量，运营公司次月10日前与主管部门核算垃圾收运量并结算上月运营费用。双方确认无争议后，运营公司提供正式发票，由主管部门申请市财政资金，每月服务费用支付周期原则上不超过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服务单价和每月实际收运至压缩站生活垃圾量，运营公司次月10日前与主管部门核算垃圾收运量并结算上月运营费用。双方确认无争议后，运营公司提供正式发票，由主管部门申请市财政资金，每月服务费用支付周期原则上不超过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服务单价和每月实际收运至压缩站生活垃圾量，运营公司次月10日前与主管部门核算垃圾收运量并结算上月运营费用。双方确认无争议后，运营公司提供正式发票，由主管部门申请市财政资金，每月服务费用支付周期原则上不超过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服务单价和每月实际收运至压缩站生活垃圾量，运营公司次月10日前与主管部门核算垃圾收运量并结算上月运营费用。双方确认无争议后，运营公司提供正式发票，由主管部门申请市财政资金，每月服务费用支付周期原则上不超过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服务单价和每月实际收运至压缩站生活垃圾量，运营公司次月10日前与主管部门核算垃圾收运量并结算上月运营费用。双方确认无争议后，运营公司提供正式发票，由主管部门申请市财政资金，每月服务费用支付周期原则上不超过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服务单价和每月实际收运至压缩站生活垃圾量，运营公司次月10日前与主管部门核算垃圾收运量并结算上月运营费用。双方确认无争议后，运营公司提供正式发票，由主管部门申请市财政资金，每月服务费用支付周期原则上不超过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服务单价和每月实际收运至压缩站生活垃圾量，运营公司次月10日前与主管部门核算垃圾收运量并结算上月运营费用。双方确认无争议后，运营公司提供正式发票，由主管部门申请市财政资金，每月服务费用支付周期原则上不超过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服务单价和每月实际收运至压缩站生活垃圾量，运营公司次月10日前与主管部门核算垃圾收运量并结算上月运营费用。双方确认无争议后，运营公司提供正式发票，由主管部门申请市财政资金，每月服务费用支付周期原则上不超过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服务单价和每月实际收运至压缩站生活垃圾量，运营公司次月10日前与主管部门核算垃圾收运量并结算上月运营费用。双方确认无争议后，运营公司提供正式发票，由主管部门申请市财政资金，每月服务费用支付周期原则上不超过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根据服务单价和每月实际收运至压缩站生活垃圾量，运营公司次月10日前与主管部门核算垃圾收运量并结算上月运营费用。双方确认无争议后，运营公司提供正式发票，由主管部门申请市财政资金，每月服务费用支付周期原则上不超过6个月</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在执行本合同中发生的或与本合同有关的争端，双方应通过友好协商解决，经协商在7天内不能达成协议时向甲方所在地有管辖权的人民法院提起诉讼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（一）合同实施 1.成交供应商应在合同签订后3个日历日内安排人员与采购人就相关工作进行安排、部署。 2.若因成交供应商原因未能如期完成合同规定的义务，由此对采购人造成的延误和一切损失，由成交供应商承担和赔偿。 （二）其他 1.纸质投标文件：成交供应商在领取成交通知书时提供一正两副纸质投标文件，装订：纸质投标文件采用书籍（胶装）方式装订成册，与电子投标文件一致的签字、盖章的完整版本。 3、代理服务费账号信息：公司名称：陕西翎海项目管理有限公司 ，账户：61050176004100001185 ，开户行：中国建设银行股份有限公司西安西影路东段支行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具有独立承担民事责任能力的法人、其它组织或自然人，出具合法有效的营业执照等相关证明文件，自然人参与的提供其身份证明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提供2022年至今任意一年完整的财务审计报告或开标时间前六个月内银行出具的资信证明，其他组织和自然人提供银行出具的资信证明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w:t>
            </w:r>
          </w:p>
        </w:tc>
        <w:tc>
          <w:tcPr>
            <w:tcW w:type="dxa" w:w="3322"/>
          </w:tcPr>
          <w:p>
            <w:pPr>
              <w:pStyle w:val="null3"/>
            </w:pPr>
            <w:r>
              <w:rPr>
                <w:rFonts w:ascii="仿宋_GB2312" w:hAnsi="仿宋_GB2312" w:cs="仿宋_GB2312" w:eastAsia="仿宋_GB2312"/>
              </w:rPr>
              <w:t>提供开标时间前六个月内至少一个月的社会保障资金缴存单据或社保机构开具的社会保险参保缴费情况证明，依法不需要缴纳社会保障资金的单位应提供相关证明材料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提供开标时间前六个月内已缴纳的至少一个月的纳税证明或完税证明，依法免税的单位应提供相关证明材料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参加政府采购活动前3年内在经营活动中没有重大违法记录；开标时间前供应商未被“信用中国”网站（www.creditchina.gov.cn）列入失信被执行人、重大税收违法失信主体，未被中国政府采购网（www.ccgp.gov.cn）列入政府采购严重违法失信行为记录名单（以代理机构现场查询为准）</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履行合同所必须的设备和专业技术能力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法定代表人授权书（附法定代表人、被授权人身份证复印件）（法定代表人直接参加投标，须提供法定代表人身份证明书）</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特定资格条件</w:t>
            </w:r>
          </w:p>
        </w:tc>
        <w:tc>
          <w:tcPr>
            <w:tcW w:type="dxa" w:w="3322"/>
          </w:tcPr>
          <w:p>
            <w:pPr>
              <w:pStyle w:val="null3"/>
            </w:pPr>
            <w:r>
              <w:rPr>
                <w:rFonts w:ascii="仿宋_GB2312" w:hAnsi="仿宋_GB2312" w:cs="仿宋_GB2312" w:eastAsia="仿宋_GB2312"/>
              </w:rPr>
              <w:t>提供合法有效的生活垃圾经营性清扫、收集、运输服务许可证</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均按招标文件要求签字、盖章 （评分标准中要求提供的证明材料除外）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中小企业声明函 商务应答表 供应商声明.docx 分项报价.docx 投标人应提交的相关资格证明材料.docx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只能有一个有效报价，不得提交选择性报价，且报价不超过招标文件规定的预算或最高限价</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投标文件内容不存在漏项或数量与要求不符合招标文件规定情形，响应内容满足采购文件的商务、技术等实质性要求</w:t>
            </w:r>
          </w:p>
        </w:tc>
        <w:tc>
          <w:tcPr>
            <w:tcW w:type="dxa" w:w="1661"/>
          </w:tcPr>
          <w:p>
            <w:pPr>
              <w:pStyle w:val="null3"/>
            </w:pPr>
            <w:r>
              <w:rPr>
                <w:rFonts w:ascii="仿宋_GB2312" w:hAnsi="仿宋_GB2312" w:cs="仿宋_GB2312" w:eastAsia="仿宋_GB2312"/>
              </w:rPr>
              <w:t>开标一览表 服务内容及服务邀请应答表 中小企业声明函 商务应答表 供应商声明.docx 分项报价.docx 投标人应提交的相关资格证明材料.docx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投标文件不含有采购人不能接受的附加条件</w:t>
            </w:r>
          </w:p>
        </w:tc>
        <w:tc>
          <w:tcPr>
            <w:tcW w:type="dxa" w:w="1661"/>
          </w:tcPr>
          <w:p>
            <w:pPr>
              <w:pStyle w:val="null3"/>
            </w:pPr>
            <w:r>
              <w:rPr>
                <w:rFonts w:ascii="仿宋_GB2312" w:hAnsi="仿宋_GB2312" w:cs="仿宋_GB2312" w:eastAsia="仿宋_GB2312"/>
              </w:rPr>
              <w:t>开标一览表 服务内容及服务邀请应答表 中小企业声明函 商务应答表 供应商声明.docx 分项报价.docx 投标人应提交的相关资格证明材料.docx 投标函 残疾人福利性单位声明函 标的清单 投标文件封面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不存在其它不符合法律法规或招标文件规定的响应无效条款的情形</w:t>
            </w:r>
          </w:p>
        </w:tc>
        <w:tc>
          <w:tcPr>
            <w:tcW w:type="dxa" w:w="1661"/>
          </w:tcPr>
          <w:p>
            <w:pPr>
              <w:pStyle w:val="null3"/>
            </w:pPr>
            <w:r>
              <w:rPr>
                <w:rFonts w:ascii="仿宋_GB2312" w:hAnsi="仿宋_GB2312" w:cs="仿宋_GB2312" w:eastAsia="仿宋_GB2312"/>
              </w:rPr>
              <w:t>开标一览表 服务内容及服务邀请应答表 中小企业声明函 商务应答表 供应商声明.docx 分项报价.docx 投标人应提交的相关资格证明材料.docx 投标函 残疾人福利性单位声明函 标的清单 投标文件封面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投资总额</w:t>
            </w:r>
          </w:p>
        </w:tc>
        <w:tc>
          <w:tcPr>
            <w:tcW w:type="dxa" w:w="2492"/>
          </w:tcPr>
          <w:p>
            <w:pPr>
              <w:pStyle w:val="null3"/>
            </w:pPr>
            <w:r>
              <w:rPr>
                <w:rFonts w:ascii="仿宋_GB2312" w:hAnsi="仿宋_GB2312" w:cs="仿宋_GB2312" w:eastAsia="仿宋_GB2312"/>
              </w:rPr>
              <w:t>首期投资总额不得少于3000万。 满足招标文件要求且投资总额最高的为评标基准价，得满分。其他投标人得分统一按照下列公式计算：投资总额得分=（投资总额/评标基准价）×权值。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生活垃圾收运车辆和 村级生活垃圾桶（箱）配备</w:t>
            </w:r>
          </w:p>
        </w:tc>
        <w:tc>
          <w:tcPr>
            <w:tcW w:type="dxa" w:w="2492"/>
          </w:tcPr>
          <w:p>
            <w:pPr>
              <w:pStyle w:val="null3"/>
            </w:pPr>
            <w:r>
              <w:rPr>
                <w:rFonts w:ascii="仿宋_GB2312" w:hAnsi="仿宋_GB2312" w:cs="仿宋_GB2312" w:eastAsia="仿宋_GB2312"/>
              </w:rPr>
              <w:t>一、采购要求：供应商根据《韩城市城乡生活垃圾收运处置体系规划（2021-2035）》，采购配备满足全市镇村生活垃圾收运需要各类生活垃圾收运车辆（其中新能源车辆占比不低于50%），采购配备满足全市镇村生活垃圾收运需要各类生活垃圾桶（箱），在各镇办村组收集点投放数量满足收运需要。在中标合同签订后两个月内全部到位。结合韩城市实际情况，并考虑近远期发展。 1.明确生活垃圾收运车辆的数量、型号、配置时间，实施方案思路清晰、准确，满足满足采购要求且新能源车辆占比不低于50%。 2.采购配备满足全市镇村生活垃圾收运需要各类生活垃圾桶（箱），在全市各镇办村组收集点投放，村组覆盖率达到100%。充分考虑全市各镇办村组生活垃圾分类实际，明确生活垃圾桶（箱）的数量、型号、各类垃圾桶配比、投放和收运时间、监督投诉信息等，具体配置实施方案思路清晰、准确。 二、评审内容：方案要明确①明确生活垃圾收运车辆的数量、型号、配置时间②明确全市镇村生活垃圾收运需要各类生活垃圾桶（箱）的数量、型号、配置时间③明确生活垃圾桶（箱）各类垃圾桶配比、④投放和收运时间、⑤监督投诉信息、⑥重难点防范解决措施。 所提供的每小项方案中有缺陷（缺陷是指：凭空编造、内容前后不一致、前后逻辑错误、不符合采购需求、内容缺失）得1.5分；每小项方案无缺陷，得3分；未提供不得分。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镇村生活垃圾收运调度中心</w:t>
            </w:r>
          </w:p>
        </w:tc>
        <w:tc>
          <w:tcPr>
            <w:tcW w:type="dxa" w:w="2492"/>
          </w:tcPr>
          <w:p>
            <w:pPr>
              <w:pStyle w:val="null3"/>
            </w:pPr>
            <w:r>
              <w:rPr>
                <w:rFonts w:ascii="仿宋_GB2312" w:hAnsi="仿宋_GB2312" w:cs="仿宋_GB2312" w:eastAsia="仿宋_GB2312"/>
              </w:rPr>
              <w:t>1.建设方案 规范编制镇村生活垃圾调度中心建设方案：方案中要明确①生活垃圾分类宣传教育中心实施方案（详细列出硬件设施等）②建成时间保证措施③生活垃圾收运智慧管理调度实施方案（详细列出硬件设施等）④保证工程款及农民工工资按时支付措施、⑤保证工程质量措施、⑥重难点防范解决措施。所提供的每小项方案中有缺陷（缺陷是指：凭空编造、内容前后不一致、前后逻辑错误、不符合采购需求、内容缺失）得1分；每小项方案无缺陷，得2分；未提供不得分。 2.运营方案 规范编制镇村生活垃圾调度中心运营方案：方案中要明确①环卫队伍建设规划、②运营期间的安全生产规划、③生态环境保护工作规划、④按时支付聘用人员工资依法缴纳社会保险方案。所提供的每小项方案中有缺陷（缺陷是指：凭空编造、内容前后不一致、前后逻辑错误、不符合采购需求、内容缺失）得1分；每小项方案无缺陷，得2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生活垃圾集中收运</w:t>
            </w:r>
          </w:p>
        </w:tc>
        <w:tc>
          <w:tcPr>
            <w:tcW w:type="dxa" w:w="2492"/>
          </w:tcPr>
          <w:p>
            <w:pPr>
              <w:pStyle w:val="null3"/>
            </w:pPr>
            <w:r>
              <w:rPr>
                <w:rFonts w:ascii="仿宋_GB2312" w:hAnsi="仿宋_GB2312" w:cs="仿宋_GB2312" w:eastAsia="仿宋_GB2312"/>
              </w:rPr>
              <w:t>生活垃圾收运方案中要明确:①垃圾收运路线规划、②服务目标、③垃圾清运具体措施④服务质量措施、⑤垃圾处理时间保障措施和极端天气应急预案⑥日常服务协调配合措施（包括配合开展非正规垃圾点整治工作）⑦专项防疫消杀服务方案。所提供的每小项方案中有缺陷（缺陷是指：凭空编造、内容前后不一致、前后逻辑错误、不符合采购需求、内容缺失），得1.5分；每小项方案无缺陷，得3分；未提供不得分。</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文明服务 措施</w:t>
            </w:r>
          </w:p>
        </w:tc>
        <w:tc>
          <w:tcPr>
            <w:tcW w:type="dxa" w:w="2492"/>
          </w:tcPr>
          <w:p>
            <w:pPr>
              <w:pStyle w:val="null3"/>
            </w:pPr>
            <w:r>
              <w:rPr>
                <w:rFonts w:ascii="仿宋_GB2312" w:hAnsi="仿宋_GB2312" w:cs="仿宋_GB2312" w:eastAsia="仿宋_GB2312"/>
              </w:rPr>
              <w:t>方案中要明确①应对监督检查措施、自觉接受主管部门的日常监管和考核、②对主管部门及基层干部群众提出的运营问题要及时回应并积极整改、③作业人员及城市公共道路安全保障作业措施、④本项目拟投入管理人员计划。所提供的每小项方案中有缺陷（缺陷是指：凭空编造、内容前后不一致、前后逻辑错误、不符合采购需求、内容缺失），得0.5分；每小项方案无缺陷，得1.5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提供2022年1月1日至今的类似业绩合同，每份计1分，计满5分为止；（提供业绩合同的复印件并加盖供应商公章，合同以签订时间为准）。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满足招标文件要求且投标价格最低的投标报价为评标基准价，其价格分为满分。其他投标人的价格分统一按照下列公式计算：投标报价得分=（评标基准价/投标报价）×价格权值。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