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版本号：SXYK2025(027)号20251215001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清洁煤采购项目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SXYK2025(027)号</w:t>
      </w:r>
      <w:r>
        <w:br/>
      </w:r>
      <w:r>
        <w:br/>
      </w:r>
      <w:r>
        <w:br/>
      </w:r>
    </w:p>
    <w:p>
      <w:pPr>
        <w:pStyle w:val="null3"/>
        <w:jc w:val="center"/>
        <w:outlineLvl w:val="2"/>
      </w:pPr>
      <w:r>
        <w:rPr>
          <w:rFonts w:ascii="仿宋_GB2312" w:hAnsi="仿宋_GB2312" w:cs="仿宋_GB2312" w:eastAsia="仿宋_GB2312"/>
          <w:sz w:val="28"/>
          <w:b/>
        </w:rPr>
        <w:t>韩城市发展和改革委员会（本级）</w:t>
      </w:r>
    </w:p>
    <w:p>
      <w:pPr>
        <w:pStyle w:val="null3"/>
        <w:jc w:val="center"/>
        <w:outlineLvl w:val="2"/>
      </w:pPr>
      <w:r>
        <w:rPr>
          <w:rFonts w:ascii="仿宋_GB2312" w:hAnsi="仿宋_GB2312" w:cs="仿宋_GB2312" w:eastAsia="仿宋_GB2312"/>
          <w:sz w:val="28"/>
          <w:b/>
        </w:rPr>
        <w:t>陕西赢科项目管理有限公司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陕西赢科项目管理有限公司</w:t>
      </w:r>
      <w:r>
        <w:rPr>
          <w:rFonts w:ascii="仿宋_GB2312" w:hAnsi="仿宋_GB2312" w:cs="仿宋_GB2312" w:eastAsia="仿宋_GB2312"/>
        </w:rPr>
        <w:t>（以下简称“代理机构”）受</w:t>
      </w:r>
      <w:r>
        <w:rPr>
          <w:rFonts w:ascii="仿宋_GB2312" w:hAnsi="仿宋_GB2312" w:cs="仿宋_GB2312" w:eastAsia="仿宋_GB2312"/>
        </w:rPr>
        <w:t>韩城市发展和改革委员会（本级）</w:t>
      </w:r>
      <w:r>
        <w:rPr>
          <w:rFonts w:ascii="仿宋_GB2312" w:hAnsi="仿宋_GB2312" w:cs="仿宋_GB2312" w:eastAsia="仿宋_GB2312"/>
        </w:rPr>
        <w:t>委托，拟对</w:t>
      </w:r>
      <w:r>
        <w:rPr>
          <w:rFonts w:ascii="仿宋_GB2312" w:hAnsi="仿宋_GB2312" w:cs="仿宋_GB2312" w:eastAsia="仿宋_GB2312"/>
        </w:rPr>
        <w:t>清洁煤采购项目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SXYK2025(027)号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清洁煤采购项目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本项目分为2个标包，1标包为芝川镇及板桥镇清洁煤采购约370吨，2标包为芝阳镇及桑树坪镇清洁煤采购约276吨。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采购包1（清洁煤采购项目1标包）：属于专门面向中小企业采购。</w:t>
      </w:r>
    </w:p>
    <w:p>
      <w:pPr>
        <w:pStyle w:val="null3"/>
      </w:pPr>
      <w:r>
        <w:rPr>
          <w:rFonts w:ascii="仿宋_GB2312" w:hAnsi="仿宋_GB2312" w:cs="仿宋_GB2312" w:eastAsia="仿宋_GB2312"/>
        </w:rPr>
        <w:t>采购包2（清洁煤采购项目2标包）：属于专门面向中小企业采购。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7、法定代表人授权书：法定代表人直接参加投标，须提交法定代表人身份证明书和身份证。法定代表人授权代表参加投标的，须出具法定代表人授权书、授权代表身份证及社保缴纳凭证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7、法定代表人授权书：法定代表人直接参加投标，须提交法定代表人身份证明书和身份证。法定代表人授权代表参加投标的，须出具法定代表人授权书、授权代表身份证及社保缴纳凭证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韩城市政府大院二号楼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0913-5305601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陕西赢科项目管理有限公司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陕西省西安市市辖区陕西省西安市浐灞生态区欧亚大道西段666号欧亚国际2期3幢12403室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19109130496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采购包1：702,600.00元</w:t>
            </w:r>
          </w:p>
          <w:p>
            <w:pPr>
              <w:pStyle w:val="null3"/>
            </w:pPr>
            <w:r>
              <w:rPr>
                <w:rFonts w:ascii="仿宋_GB2312" w:hAnsi="仿宋_GB2312" w:cs="仿宋_GB2312" w:eastAsia="仿宋_GB2312"/>
              </w:rPr>
              <w:t>采购包2：524,400.00元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代理服务费收费标准：参照《国家计委关于印发&lt;招标代理服务收费管理暂行办法&gt;的通知》（计价格〔2002〕1980号）和发改办价格〔2003〕857号以及发改价格〔2011〕534号文中规定的标准计取。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韩城市发展和改革委员会（本级）</w:t>
      </w:r>
      <w:r>
        <w:rPr>
          <w:rFonts w:ascii="仿宋_GB2312" w:hAnsi="仿宋_GB2312" w:cs="仿宋_GB2312" w:eastAsia="仿宋_GB2312"/>
        </w:rPr>
        <w:t>和</w:t>
      </w:r>
      <w:r>
        <w:rPr>
          <w:rFonts w:ascii="仿宋_GB2312" w:hAnsi="仿宋_GB2312" w:cs="仿宋_GB2312" w:eastAsia="仿宋_GB2312"/>
        </w:rPr>
        <w:t>陕西赢科项目管理有限公司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韩城市发展和改革委员会（本级）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陕西赢科项目管理有限公司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陕西赢科项目管理有限公司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陕西赢科项目管理有限公司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联系电话：19109130496</w:t>
      </w:r>
    </w:p>
    <w:p>
      <w:pPr>
        <w:pStyle w:val="null3"/>
      </w:pPr>
      <w:r>
        <w:rPr>
          <w:rFonts w:ascii="仿宋_GB2312" w:hAnsi="仿宋_GB2312" w:cs="仿宋_GB2312" w:eastAsia="仿宋_GB2312"/>
        </w:rPr>
        <w:t>地址：陕西省西安市浐灞生态区欧亚大道西段666号欧亚国际2期3幢12403室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本项目分为2个标包，1标包为芝川镇及板桥镇清洁煤采购约370吨，2标包为芝阳镇及桑树坪镇清洁煤采购约276吨。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702,600.00</w:t>
      </w:r>
    </w:p>
    <w:p>
      <w:pPr>
        <w:pStyle w:val="null3"/>
      </w:pPr>
      <w:r>
        <w:rPr>
          <w:rFonts w:ascii="仿宋_GB2312" w:hAnsi="仿宋_GB2312" w:cs="仿宋_GB2312" w:eastAsia="仿宋_GB2312"/>
        </w:rPr>
        <w:t>采购包最高限价（元）: 702,600.00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清洁煤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702,600.00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524,400.00</w:t>
      </w:r>
    </w:p>
    <w:p>
      <w:pPr>
        <w:pStyle w:val="null3"/>
      </w:pPr>
      <w:r>
        <w:rPr>
          <w:rFonts w:ascii="仿宋_GB2312" w:hAnsi="仿宋_GB2312" w:cs="仿宋_GB2312" w:eastAsia="仿宋_GB2312"/>
        </w:rPr>
        <w:t>采购包最高限价（元）: 524,400.00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清洁煤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524,400.00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标的名称：清洁煤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31"/>
              <w:jc w:val="both"/>
            </w:pPr>
            <w:r>
              <w:rPr>
                <w:rFonts w:ascii="仿宋_GB2312" w:hAnsi="仿宋_GB2312" w:cs="仿宋_GB2312" w:eastAsia="仿宋_GB2312"/>
                <w:sz w:val="22"/>
              </w:rPr>
              <w:t>1.发热量</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24KJ</w:t>
            </w:r>
            <w:r>
              <w:rPr>
                <w:rFonts w:ascii="仿宋_GB2312" w:hAnsi="仿宋_GB2312" w:cs="仿宋_GB2312" w:eastAsia="仿宋_GB2312"/>
                <w:sz w:val="22"/>
              </w:rPr>
              <w:t>/</w:t>
            </w:r>
            <w:r>
              <w:rPr>
                <w:rFonts w:ascii="仿宋_GB2312" w:hAnsi="仿宋_GB2312" w:cs="仿宋_GB2312" w:eastAsia="仿宋_GB2312"/>
                <w:sz w:val="22"/>
              </w:rPr>
              <w:t>kg；</w:t>
            </w:r>
          </w:p>
          <w:p>
            <w:pPr>
              <w:pStyle w:val="null3"/>
              <w:ind w:firstLine="431"/>
              <w:jc w:val="both"/>
            </w:pPr>
            <w:r>
              <w:rPr>
                <w:rFonts w:ascii="仿宋_GB2312" w:hAnsi="仿宋_GB2312" w:cs="仿宋_GB2312" w:eastAsia="仿宋_GB2312"/>
                <w:sz w:val="22"/>
              </w:rPr>
              <w:t>2.</w:t>
            </w:r>
            <w:r>
              <w:rPr>
                <w:rFonts w:ascii="仿宋_GB2312" w:hAnsi="仿宋_GB2312" w:cs="仿宋_GB2312" w:eastAsia="仿宋_GB2312"/>
                <w:sz w:val="22"/>
              </w:rPr>
              <w:t>水分</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4%；</w:t>
            </w:r>
          </w:p>
          <w:p>
            <w:pPr>
              <w:pStyle w:val="null3"/>
              <w:ind w:firstLine="431"/>
              <w:jc w:val="both"/>
            </w:pPr>
            <w:r>
              <w:rPr>
                <w:rFonts w:ascii="仿宋_GB2312" w:hAnsi="仿宋_GB2312" w:cs="仿宋_GB2312" w:eastAsia="仿宋_GB2312"/>
                <w:sz w:val="22"/>
              </w:rPr>
              <w:t>3.</w:t>
            </w:r>
            <w:r>
              <w:rPr>
                <w:rFonts w:ascii="仿宋_GB2312" w:hAnsi="仿宋_GB2312" w:cs="仿宋_GB2312" w:eastAsia="仿宋_GB2312"/>
                <w:sz w:val="22"/>
              </w:rPr>
              <w:t>含硫量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4</w:t>
            </w:r>
            <w:r>
              <w:rPr>
                <w:rFonts w:ascii="仿宋_GB2312" w:hAnsi="仿宋_GB2312" w:cs="仿宋_GB2312" w:eastAsia="仿宋_GB2312"/>
                <w:sz w:val="22"/>
              </w:rPr>
              <w:t>%；</w:t>
            </w:r>
          </w:p>
          <w:p>
            <w:pPr>
              <w:pStyle w:val="null3"/>
              <w:ind w:firstLine="431"/>
              <w:jc w:val="both"/>
            </w:pPr>
            <w:r>
              <w:rPr>
                <w:rFonts w:ascii="仿宋_GB2312" w:hAnsi="仿宋_GB2312" w:cs="仿宋_GB2312" w:eastAsia="仿宋_GB2312"/>
                <w:sz w:val="22"/>
              </w:rPr>
              <w:t>4.</w:t>
            </w:r>
            <w:r>
              <w:rPr>
                <w:rFonts w:ascii="仿宋_GB2312" w:hAnsi="仿宋_GB2312" w:cs="仿宋_GB2312" w:eastAsia="仿宋_GB2312"/>
                <w:sz w:val="22"/>
              </w:rPr>
              <w:t>挥发分</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标的名称：清洁煤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31"/>
              <w:jc w:val="both"/>
            </w:pPr>
            <w:r>
              <w:rPr>
                <w:rFonts w:ascii="仿宋_GB2312" w:hAnsi="仿宋_GB2312" w:cs="仿宋_GB2312" w:eastAsia="仿宋_GB2312"/>
                <w:sz w:val="22"/>
              </w:rPr>
              <w:t>1.发热量</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24KJ</w:t>
            </w:r>
            <w:r>
              <w:rPr>
                <w:rFonts w:ascii="仿宋_GB2312" w:hAnsi="仿宋_GB2312" w:cs="仿宋_GB2312" w:eastAsia="仿宋_GB2312"/>
                <w:sz w:val="22"/>
              </w:rPr>
              <w:t>/</w:t>
            </w:r>
            <w:r>
              <w:rPr>
                <w:rFonts w:ascii="仿宋_GB2312" w:hAnsi="仿宋_GB2312" w:cs="仿宋_GB2312" w:eastAsia="仿宋_GB2312"/>
                <w:sz w:val="22"/>
              </w:rPr>
              <w:t>kg</w:t>
            </w:r>
          </w:p>
          <w:p>
            <w:pPr>
              <w:pStyle w:val="null3"/>
              <w:ind w:firstLine="431"/>
              <w:jc w:val="both"/>
            </w:pPr>
            <w:r>
              <w:rPr>
                <w:rFonts w:ascii="仿宋_GB2312" w:hAnsi="仿宋_GB2312" w:cs="仿宋_GB2312" w:eastAsia="仿宋_GB2312"/>
                <w:sz w:val="22"/>
              </w:rPr>
              <w:t>2.水分</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w:t>
            </w:r>
          </w:p>
          <w:p>
            <w:pPr>
              <w:pStyle w:val="null3"/>
              <w:ind w:firstLine="431"/>
              <w:jc w:val="both"/>
            </w:pPr>
            <w:r>
              <w:rPr>
                <w:rFonts w:ascii="仿宋_GB2312" w:hAnsi="仿宋_GB2312" w:cs="仿宋_GB2312" w:eastAsia="仿宋_GB2312"/>
                <w:sz w:val="22"/>
              </w:rPr>
              <w:t>3.含硫量</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4</w:t>
            </w:r>
            <w:r>
              <w:rPr>
                <w:rFonts w:ascii="仿宋_GB2312" w:hAnsi="仿宋_GB2312" w:cs="仿宋_GB2312" w:eastAsia="仿宋_GB2312"/>
                <w:sz w:val="22"/>
              </w:rPr>
              <w:t xml:space="preserve">%  </w:t>
            </w:r>
          </w:p>
          <w:p>
            <w:pPr>
              <w:pStyle w:val="null3"/>
              <w:ind w:firstLine="431"/>
              <w:jc w:val="both"/>
            </w:pPr>
            <w:r>
              <w:rPr>
                <w:rFonts w:ascii="仿宋_GB2312" w:hAnsi="仿宋_GB2312" w:cs="仿宋_GB2312" w:eastAsia="仿宋_GB2312"/>
                <w:sz w:val="22"/>
              </w:rPr>
              <w:t>4.挥发分</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根据采购人需求</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根据采购人需求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全款预付， 严格按照进度要求完成货物安装、部署和实施完成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全款预付，严格按照进度要求完成货物安装、部署和实施完成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项目完成由供应商进行自检，自检合格后准备验收文件并提出验收申请，采购人同意后，采购人相关部门及人员形成验收小组，验收小组根据磋商文件、响应文件、合同等项目文件约定内答对项目进行综合验收。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项目完成由供应商进行自检，自检合格后准备验收文件并提出验收申请，采购人同意后，采购人相关部门及人员形成验收小组，验收小组根据磋商文件、响应文件、合同等项目文件约定内答对项目进行综合验收。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后1年(参数中有具体要求的，按参数要求提供质保)。供应商承诺的质保时间超过竞争性磋商文件要求的，按其承诺时间质保。2.所有产品质量必须符合国家有关规范和相关政策。所有产品质量优良、渠道正当。3.质保期出现的质量问题由中标人负责解决并承担所有费用。质保期后如需更换，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终验合格后1年(参数中有具体要求的，按参数要求提供质保)。供应商承诺的质保时间超过竞争性磋商文件要求的，按其承诺时间质保。2.所有产品质量必须符合国家有关规范和相关政策。所有产品质量优良、渠道正当。3.质保期出现的质量问题由中标人负责解决并承担所有费用。质保期后如需更换，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提供相同品牌的产品且通过资格审查、符合性审查的不同供应商参加同一合同项下投标的，按一家供应商计算，评审后得分最高的同品牌供应商获得中标人推荐资格；评审得分相同的，由采购人或者采购人委托评标委员会采取随机抽取方式确定一个供应商获得中标人推荐资格，其他同品牌供应商不作为中标候选人。 2、售后服务要求 （1）在接到甲方通知后在 4 小时内到达现场 （2）专项服务。指定专门的服务经理和专职技术人员，负责协调售后服务事宜，并设立技术支持专线，同时明确售后服务流程，以便快速解决问题。 3、合同实施： （1）成交供应商应在合同签订后3日内安排人员与使用单位就送货、安装等工作进行安排、部署。 （2）若因成交供应商原因未能如期完成合同规定的义务，由此对采购人造成的延误和一切损失，由成交供应商承担和赔偿。 4、纸质投标文件：成交供应商在领取成交通知书时提供一正两副纸质投标文件。装订：纸质投标文件采用书籍（胶装）方式装订成册，与电子投标文件一致的签字、盖章的完整版本。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法定代表人直接参加投标，须提交法定代表人身份证明书和身份证。法定代表人授权代表参加投标的，须出具法定代表人授权书、授权代表身份证及社保缴纳凭证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法定代表人直接参加投标，须提交法定代表人身份证明书和身份证。法定代表人授权代表参加投标的，须出具法定代表人授权书、授权代表身份证及社保缴纳凭证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均按竞争性磋商文件要求签字、盖章</w:t>
            </w:r>
          </w:p>
        </w:tc>
        <w:tc>
          <w:tcPr>
            <w:tcW w:type="dxa" w:w="1661"/>
          </w:tcPr>
          <w:p>
            <w:pPr>
              <w:pStyle w:val="null3"/>
            </w:pPr>
            <w:r>
              <w:rPr>
                <w:rFonts w:ascii="仿宋_GB2312" w:hAnsi="仿宋_GB2312" w:cs="仿宋_GB2312" w:eastAsia="仿宋_GB2312"/>
              </w:rPr>
              <w:t>技术参数偏离表.docx 报价一览表.docx 投标方案.docx 中小企业声明函 供应商声明.docx 报价表 商务应答表.docx 响应文件封面 投标人应提交的相关资格证明材料.docx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只能有一个有效报价，不得提交选择性报价，且报价不超过竞争性磋商文件规定的预算或最高限价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磋商响应文件内容不存在漏项或数量与要求不符合竞争性磋商文件规定情形，响应内容满足采购文件的商务、技术等实质性要求</w:t>
            </w:r>
          </w:p>
        </w:tc>
        <w:tc>
          <w:tcPr>
            <w:tcW w:type="dxa" w:w="1661"/>
          </w:tcPr>
          <w:p>
            <w:pPr>
              <w:pStyle w:val="null3"/>
            </w:pPr>
            <w:r>
              <w:rPr>
                <w:rFonts w:ascii="仿宋_GB2312" w:hAnsi="仿宋_GB2312" w:cs="仿宋_GB2312" w:eastAsia="仿宋_GB2312"/>
              </w:rPr>
              <w:t>技术参数偏离表.docx 投标方案.docx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不存在其它不符合法律法规或竞争性磋商文件规定的响应无效条款的情形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均按竞争性磋商文件要求签字、盖章</w:t>
            </w:r>
          </w:p>
        </w:tc>
        <w:tc>
          <w:tcPr>
            <w:tcW w:type="dxa" w:w="1661"/>
          </w:tcPr>
          <w:p>
            <w:pPr>
              <w:pStyle w:val="null3"/>
            </w:pPr>
            <w:r>
              <w:rPr>
                <w:rFonts w:ascii="仿宋_GB2312" w:hAnsi="仿宋_GB2312" w:cs="仿宋_GB2312" w:eastAsia="仿宋_GB2312"/>
              </w:rPr>
              <w:t>技术参数偏离表.docx 报价一览表.docx 投标方案.docx 中小企业声明函 供应商声明.docx 报价表 商务应答表.docx 响应文件封面 投标人应提交的相关资格证明材料.docx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只能有一个有效报价，不得提交选择性报价，且报价不超过竞争性磋商文件规定的预算或最高限价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磋商响应文件内容不存在漏项或数量与要求不符合竞争性磋商文件规定情形，响应内容满足采购文件的商务、技术等实质性要求</w:t>
            </w:r>
          </w:p>
        </w:tc>
        <w:tc>
          <w:tcPr>
            <w:tcW w:type="dxa" w:w="1661"/>
          </w:tcPr>
          <w:p>
            <w:pPr>
              <w:pStyle w:val="null3"/>
            </w:pPr>
            <w:r>
              <w:rPr>
                <w:rFonts w:ascii="仿宋_GB2312" w:hAnsi="仿宋_GB2312" w:cs="仿宋_GB2312" w:eastAsia="仿宋_GB2312"/>
              </w:rPr>
              <w:t>技术参数偏离表.docx 投标方案.docx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不存在其它不符合法律法规或竞争性磋商文件规定的响应无效条款的情形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(1)技术参数符合竞争性磋商文件规定，完全满足竞争性磋商文件要求得4分，投标产品技术参数优于竞争性磋商文件技术参数者项加1分，最高加2分。 (2)产品及产品说明描述详细(包括但不限于实物图片、彩页、说明书等相关资料)。按其响应程度得0-10分。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(1)供应商需提供产品的合法来源渠道证明文件（包括但不限于产品授权书、销售协议等），按其响应程度得0-5分。 (2)质量保障体系完整、有完善的管理制度、质量检验手续合法有效、质量保证承诺完全满足项目要求，按其响应程度得0-15分。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提供具体可行的按期供货的进度保证说明，方案及说明详细且可行性，按其响应程度得0-10分。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针对本项目运输车辆的投入，车辆安排、组织机构、运输方案（遇到天气等客观因素，应做好的应急工作，有应急方案）等内容，按其响应程度得0-10分。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包含但不限于拟投入售后服务人员配置情况、针对该项目有明确的售后服务计划，按其响应程度得0-10分。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提供近三年类似项目业绩；每提供一项得1分，满分4分；注：近三年指2022年至今。</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(1)技术参数符合竞争性磋商文件规定，完全满足竞争性磋商文件要求得4分，投标产品技术参数优于竞争性磋商文件技术参数者项加1分，最高加2分。 (2)产品及产品说明描述详细(包括但不限于实物图片、彩页、说明书等相关资料)。按其响应程度得0-10分。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(1)供应商需提供产品的合法来源渠道证明文件（包括但不限于产品授权书、销售协议等），按其响应程度得0-5分。 (2)质量保障体系完整、有完善的管理制度、质量检验手续合法有效、质量保证承诺完全满足项目要求，按其响应程度得0-15分。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提供具体可行的按期供货的进度保证说明，方案及说明详细且可行性，按其响应程度得0-10分。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针对本项目运输车辆的投入，车辆安排、组织机构、运输方案（遇到天气等客观因素，应做好的应急工作，有应急方案）等内容，按其响应程度得0-10分。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包含但不限于拟投入售后服务人员配置情况、针对该项目有明确的售后服务计划，按其响应程度得0-10分。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提供近三年类似项目业绩；每提供一项得1分，满分4分；注：近三年指2022年至今。</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