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7AD5D">
      <w:pPr>
        <w:spacing w:line="360" w:lineRule="auto"/>
        <w:jc w:val="center"/>
        <w:rPr>
          <w:rFonts w:hint="eastAsia" w:ascii="宋体" w:hAnsi="宋体" w:eastAsia="宋体" w:cs="宋体"/>
          <w:b/>
          <w:color w:val="auto"/>
          <w:kern w:val="44"/>
          <w:sz w:val="36"/>
          <w:szCs w:val="36"/>
          <w:lang w:val="en-US" w:eastAsia="zh-CN" w:bidi="ar-SA"/>
        </w:rPr>
      </w:pPr>
      <w:r>
        <w:rPr>
          <w:rFonts w:hint="eastAsia" w:ascii="宋体" w:hAnsi="宋体" w:cs="宋体"/>
          <w:b/>
          <w:color w:val="auto"/>
          <w:kern w:val="44"/>
          <w:sz w:val="36"/>
          <w:szCs w:val="36"/>
          <w:lang w:val="en-US" w:eastAsia="zh-CN" w:bidi="ar-SA"/>
        </w:rPr>
        <w:t>清洁煤采购项目</w:t>
      </w:r>
    </w:p>
    <w:p w14:paraId="109FC23F">
      <w:pPr>
        <w:spacing w:line="900" w:lineRule="auto"/>
        <w:jc w:val="center"/>
        <w:rPr>
          <w:rFonts w:hint="eastAsia" w:ascii="宋体" w:hAnsi="宋体" w:eastAsia="宋体" w:cs="宋体"/>
          <w:b/>
          <w:color w:val="auto"/>
          <w:sz w:val="40"/>
          <w:szCs w:val="44"/>
          <w:lang w:eastAsia="zh-CN"/>
        </w:rPr>
      </w:pPr>
    </w:p>
    <w:p w14:paraId="0205481E">
      <w:pPr>
        <w:spacing w:line="900" w:lineRule="auto"/>
        <w:jc w:val="center"/>
        <w:rPr>
          <w:rFonts w:hint="eastAsia" w:ascii="宋体" w:hAnsi="宋体" w:eastAsia="宋体" w:cs="宋体"/>
          <w:color w:val="auto"/>
          <w:sz w:val="20"/>
          <w:szCs w:val="21"/>
        </w:rPr>
      </w:pPr>
      <w:r>
        <w:rPr>
          <w:rFonts w:hint="eastAsia" w:ascii="宋体" w:hAnsi="宋体" w:eastAsia="宋体" w:cs="宋体"/>
          <w:b/>
          <w:color w:val="auto"/>
          <w:sz w:val="52"/>
          <w:szCs w:val="56"/>
        </w:rPr>
        <w:t>合同书</w:t>
      </w:r>
      <w:r>
        <w:rPr>
          <w:rFonts w:hint="eastAsia" w:ascii="宋体" w:hAnsi="宋体" w:eastAsia="宋体" w:cs="宋体"/>
          <w:color w:val="auto"/>
          <w:sz w:val="20"/>
          <w:szCs w:val="21"/>
        </w:rPr>
        <w:t xml:space="preserve">        </w:t>
      </w:r>
    </w:p>
    <w:p w14:paraId="52CB999B">
      <w:pPr>
        <w:spacing w:line="380" w:lineRule="exact"/>
        <w:rPr>
          <w:rFonts w:hint="eastAsia" w:ascii="宋体" w:hAnsi="宋体" w:eastAsia="宋体" w:cs="宋体"/>
          <w:color w:val="auto"/>
          <w:sz w:val="20"/>
          <w:szCs w:val="21"/>
        </w:rPr>
      </w:pPr>
    </w:p>
    <w:p w14:paraId="61727370">
      <w:pPr>
        <w:spacing w:line="380" w:lineRule="exact"/>
        <w:rPr>
          <w:rFonts w:hint="eastAsia" w:ascii="宋体" w:hAnsi="宋体" w:eastAsia="宋体" w:cs="宋体"/>
          <w:color w:val="auto"/>
          <w:sz w:val="20"/>
          <w:szCs w:val="21"/>
        </w:rPr>
      </w:pPr>
    </w:p>
    <w:p w14:paraId="543D463B">
      <w:pPr>
        <w:spacing w:line="380" w:lineRule="exact"/>
        <w:rPr>
          <w:rFonts w:hint="eastAsia" w:ascii="宋体" w:hAnsi="宋体" w:eastAsia="宋体" w:cs="宋体"/>
          <w:color w:val="auto"/>
          <w:sz w:val="20"/>
        </w:rPr>
      </w:pPr>
      <w:r>
        <w:rPr>
          <w:rFonts w:hint="eastAsia" w:ascii="宋体" w:hAnsi="宋体" w:eastAsia="宋体" w:cs="宋体"/>
          <w:color w:val="auto"/>
          <w:sz w:val="20"/>
          <w:szCs w:val="21"/>
        </w:rPr>
        <w:t xml:space="preserve">                     </w:t>
      </w:r>
    </w:p>
    <w:p w14:paraId="26BDEB52">
      <w:pPr>
        <w:spacing w:line="380" w:lineRule="exact"/>
        <w:ind w:firstLine="1772" w:firstLineChars="633"/>
        <w:rPr>
          <w:rFonts w:hint="eastAsia" w:ascii="宋体" w:hAnsi="宋体" w:eastAsia="宋体" w:cs="宋体"/>
          <w:color w:val="auto"/>
          <w:sz w:val="28"/>
          <w:szCs w:val="30"/>
        </w:rPr>
      </w:pPr>
      <w:r>
        <w:rPr>
          <w:rFonts w:hint="eastAsia" w:ascii="宋体" w:hAnsi="宋体" w:eastAsia="宋体" w:cs="宋体"/>
          <w:color w:val="auto"/>
          <w:sz w:val="28"/>
          <w:szCs w:val="30"/>
        </w:rPr>
        <w:t xml:space="preserve"> </w:t>
      </w:r>
    </w:p>
    <w:p w14:paraId="20DB7546">
      <w:pPr>
        <w:spacing w:line="360" w:lineRule="auto"/>
        <w:ind w:firstLine="1772" w:firstLineChars="633"/>
        <w:rPr>
          <w:rFonts w:hint="eastAsia" w:ascii="宋体" w:hAnsi="宋体" w:eastAsia="宋体" w:cs="宋体"/>
          <w:color w:val="auto"/>
          <w:sz w:val="28"/>
          <w:szCs w:val="30"/>
          <w:u w:val="single"/>
        </w:rPr>
      </w:pPr>
      <w:r>
        <w:rPr>
          <w:rFonts w:hint="eastAsia" w:ascii="宋体" w:hAnsi="宋体" w:eastAsia="宋体" w:cs="宋体"/>
          <w:color w:val="auto"/>
          <w:sz w:val="28"/>
          <w:szCs w:val="30"/>
        </w:rPr>
        <w:t>甲方：</w:t>
      </w:r>
      <w:r>
        <w:rPr>
          <w:rFonts w:hint="eastAsia" w:ascii="宋体" w:hAnsi="宋体" w:eastAsia="宋体" w:cs="宋体"/>
          <w:color w:val="auto"/>
          <w:sz w:val="28"/>
          <w:szCs w:val="30"/>
          <w:u w:val="single"/>
        </w:rPr>
        <w:t xml:space="preserve"> </w:t>
      </w:r>
      <w:r>
        <w:rPr>
          <w:rFonts w:hint="eastAsia" w:ascii="宋体" w:hAnsi="宋体" w:cs="宋体"/>
          <w:color w:val="auto"/>
          <w:sz w:val="28"/>
          <w:szCs w:val="30"/>
          <w:u w:val="single"/>
          <w:lang w:val="en-US" w:eastAsia="zh-CN"/>
        </w:rPr>
        <w:t xml:space="preserve">                      </w:t>
      </w:r>
      <w:r>
        <w:rPr>
          <w:rFonts w:hint="eastAsia" w:ascii="宋体" w:hAnsi="宋体" w:eastAsia="宋体" w:cs="宋体"/>
          <w:color w:val="auto"/>
          <w:sz w:val="28"/>
          <w:szCs w:val="30"/>
          <w:u w:val="single"/>
          <w:lang w:val="en-US" w:eastAsia="zh-CN"/>
        </w:rPr>
        <w:t xml:space="preserve"> </w:t>
      </w:r>
      <w:r>
        <w:rPr>
          <w:rFonts w:hint="eastAsia" w:ascii="宋体" w:hAnsi="宋体" w:cs="宋体"/>
          <w:color w:val="auto"/>
          <w:sz w:val="28"/>
          <w:szCs w:val="30"/>
          <w:u w:val="single"/>
          <w:lang w:val="en-US" w:eastAsia="zh-CN"/>
        </w:rPr>
        <w:t xml:space="preserve"> </w:t>
      </w:r>
      <w:r>
        <w:rPr>
          <w:rFonts w:hint="eastAsia" w:ascii="宋体" w:hAnsi="宋体" w:eastAsia="宋体" w:cs="宋体"/>
          <w:color w:val="auto"/>
          <w:sz w:val="28"/>
          <w:szCs w:val="30"/>
          <w:u w:val="single"/>
          <w:lang w:val="en-US" w:eastAsia="zh-CN"/>
        </w:rPr>
        <w:t xml:space="preserve"> </w:t>
      </w:r>
      <w:r>
        <w:rPr>
          <w:rFonts w:hint="eastAsia" w:ascii="宋体" w:hAnsi="宋体" w:eastAsia="宋体" w:cs="宋体"/>
          <w:color w:val="auto"/>
          <w:sz w:val="28"/>
          <w:szCs w:val="30"/>
          <w:u w:val="single"/>
        </w:rPr>
        <w:t xml:space="preserve"> </w:t>
      </w:r>
    </w:p>
    <w:p w14:paraId="437930EA">
      <w:pPr>
        <w:spacing w:line="360" w:lineRule="auto"/>
        <w:ind w:firstLine="1772" w:firstLineChars="633"/>
        <w:rPr>
          <w:rFonts w:hint="default" w:ascii="宋体" w:hAnsi="宋体" w:eastAsia="宋体" w:cs="宋体"/>
          <w:color w:val="auto"/>
          <w:sz w:val="28"/>
          <w:szCs w:val="30"/>
          <w:u w:val="single"/>
          <w:lang w:val="en-US" w:eastAsia="zh-CN"/>
        </w:rPr>
      </w:pPr>
      <w:r>
        <w:rPr>
          <w:rFonts w:hint="eastAsia" w:ascii="宋体" w:hAnsi="宋体" w:eastAsia="宋体" w:cs="宋体"/>
          <w:color w:val="auto"/>
          <w:sz w:val="28"/>
          <w:szCs w:val="30"/>
        </w:rPr>
        <w:t>地址：</w:t>
      </w:r>
      <w:r>
        <w:rPr>
          <w:rFonts w:hint="eastAsia" w:ascii="宋体" w:hAnsi="宋体" w:eastAsia="宋体" w:cs="宋体"/>
          <w:color w:val="auto"/>
          <w:sz w:val="28"/>
          <w:szCs w:val="30"/>
          <w:u w:val="single"/>
        </w:rPr>
        <w:t xml:space="preserve"> </w:t>
      </w:r>
      <w:r>
        <w:rPr>
          <w:rFonts w:hint="eastAsia" w:ascii="宋体" w:hAnsi="宋体" w:cs="宋体"/>
          <w:color w:val="auto"/>
          <w:sz w:val="28"/>
          <w:szCs w:val="30"/>
          <w:u w:val="single"/>
          <w:lang w:val="en-US" w:eastAsia="zh-CN"/>
        </w:rPr>
        <w:t xml:space="preserve">                  </w:t>
      </w:r>
      <w:r>
        <w:rPr>
          <w:rFonts w:hint="eastAsia" w:ascii="宋体" w:hAnsi="宋体" w:eastAsia="宋体" w:cs="宋体"/>
          <w:color w:val="auto"/>
          <w:sz w:val="28"/>
          <w:szCs w:val="30"/>
          <w:u w:val="single"/>
        </w:rPr>
        <w:t xml:space="preserve"> </w:t>
      </w:r>
      <w:r>
        <w:rPr>
          <w:rFonts w:hint="eastAsia" w:ascii="宋体" w:hAnsi="宋体" w:cs="宋体"/>
          <w:color w:val="auto"/>
          <w:sz w:val="28"/>
          <w:szCs w:val="30"/>
          <w:u w:val="single"/>
          <w:lang w:val="en-US" w:eastAsia="zh-CN"/>
        </w:rPr>
        <w:t xml:space="preserve">       </w:t>
      </w:r>
    </w:p>
    <w:p w14:paraId="0773B203">
      <w:pPr>
        <w:spacing w:line="360" w:lineRule="auto"/>
        <w:ind w:firstLine="1772" w:firstLineChars="633"/>
        <w:rPr>
          <w:rFonts w:hint="eastAsia" w:ascii="宋体" w:hAnsi="宋体" w:eastAsia="宋体" w:cs="宋体"/>
          <w:color w:val="auto"/>
          <w:sz w:val="28"/>
          <w:szCs w:val="30"/>
        </w:rPr>
      </w:pPr>
      <w:r>
        <w:rPr>
          <w:rFonts w:hint="eastAsia" w:ascii="宋体" w:hAnsi="宋体" w:eastAsia="宋体" w:cs="宋体"/>
          <w:color w:val="auto"/>
          <w:sz w:val="28"/>
          <w:szCs w:val="30"/>
        </w:rPr>
        <w:t>电话：</w:t>
      </w:r>
      <w:r>
        <w:rPr>
          <w:rFonts w:hint="eastAsia" w:ascii="宋体" w:hAnsi="宋体" w:eastAsia="宋体" w:cs="宋体"/>
          <w:color w:val="auto"/>
          <w:sz w:val="28"/>
          <w:szCs w:val="30"/>
          <w:u w:val="single"/>
        </w:rPr>
        <w:t xml:space="preserve">                           </w:t>
      </w:r>
      <w:r>
        <w:rPr>
          <w:rFonts w:hint="eastAsia" w:ascii="宋体" w:hAnsi="宋体" w:eastAsia="宋体" w:cs="宋体"/>
          <w:color w:val="auto"/>
          <w:sz w:val="28"/>
          <w:szCs w:val="30"/>
        </w:rPr>
        <w:t xml:space="preserve">  </w:t>
      </w:r>
    </w:p>
    <w:p w14:paraId="7BE5FA67">
      <w:pPr>
        <w:spacing w:line="360" w:lineRule="auto"/>
        <w:ind w:firstLine="1772" w:firstLineChars="633"/>
        <w:rPr>
          <w:rFonts w:hint="eastAsia" w:ascii="宋体" w:hAnsi="宋体" w:eastAsia="宋体" w:cs="宋体"/>
          <w:color w:val="auto"/>
          <w:sz w:val="28"/>
          <w:szCs w:val="30"/>
        </w:rPr>
      </w:pPr>
    </w:p>
    <w:p w14:paraId="73B1B15D">
      <w:pPr>
        <w:spacing w:line="360" w:lineRule="auto"/>
        <w:ind w:firstLine="1772" w:firstLineChars="633"/>
        <w:rPr>
          <w:rFonts w:hint="eastAsia" w:ascii="宋体" w:hAnsi="宋体" w:eastAsia="宋体" w:cs="宋体"/>
          <w:color w:val="auto"/>
          <w:sz w:val="28"/>
          <w:szCs w:val="30"/>
        </w:rPr>
      </w:pPr>
      <w:r>
        <w:rPr>
          <w:rFonts w:hint="eastAsia" w:ascii="宋体" w:hAnsi="宋体" w:eastAsia="宋体" w:cs="宋体"/>
          <w:color w:val="auto"/>
          <w:sz w:val="28"/>
          <w:szCs w:val="30"/>
        </w:rPr>
        <w:t>乙方：</w:t>
      </w:r>
      <w:r>
        <w:rPr>
          <w:rFonts w:hint="eastAsia" w:ascii="宋体" w:hAnsi="宋体" w:eastAsia="宋体" w:cs="宋体"/>
          <w:color w:val="auto"/>
          <w:sz w:val="28"/>
          <w:szCs w:val="30"/>
          <w:u w:val="single"/>
        </w:rPr>
        <w:t xml:space="preserve">                           </w:t>
      </w:r>
      <w:r>
        <w:rPr>
          <w:rFonts w:hint="eastAsia" w:ascii="宋体" w:hAnsi="宋体" w:eastAsia="宋体" w:cs="宋体"/>
          <w:color w:val="auto"/>
          <w:sz w:val="28"/>
          <w:szCs w:val="30"/>
        </w:rPr>
        <w:t xml:space="preserve">                             </w:t>
      </w:r>
    </w:p>
    <w:p w14:paraId="372705A5">
      <w:pPr>
        <w:spacing w:line="360" w:lineRule="auto"/>
        <w:ind w:firstLine="1772" w:firstLineChars="633"/>
        <w:rPr>
          <w:rFonts w:hint="eastAsia" w:ascii="宋体" w:hAnsi="宋体" w:eastAsia="宋体" w:cs="宋体"/>
          <w:color w:val="auto"/>
          <w:sz w:val="28"/>
          <w:szCs w:val="30"/>
        </w:rPr>
      </w:pPr>
      <w:r>
        <w:rPr>
          <w:rFonts w:hint="eastAsia" w:ascii="宋体" w:hAnsi="宋体" w:eastAsia="宋体" w:cs="宋体"/>
          <w:color w:val="auto"/>
          <w:sz w:val="28"/>
          <w:szCs w:val="30"/>
        </w:rPr>
        <w:t>地址：</w:t>
      </w:r>
      <w:r>
        <w:rPr>
          <w:rFonts w:hint="eastAsia" w:ascii="宋体" w:hAnsi="宋体" w:eastAsia="宋体" w:cs="宋体"/>
          <w:color w:val="auto"/>
          <w:sz w:val="28"/>
          <w:szCs w:val="30"/>
          <w:u w:val="single"/>
        </w:rPr>
        <w:t xml:space="preserve">                           </w:t>
      </w:r>
      <w:r>
        <w:rPr>
          <w:rFonts w:hint="eastAsia" w:ascii="宋体" w:hAnsi="宋体" w:eastAsia="宋体" w:cs="宋体"/>
          <w:color w:val="auto"/>
          <w:sz w:val="28"/>
          <w:szCs w:val="30"/>
        </w:rPr>
        <w:t xml:space="preserve">                                  </w:t>
      </w:r>
    </w:p>
    <w:p w14:paraId="0C086E6C">
      <w:pPr>
        <w:spacing w:line="360" w:lineRule="auto"/>
        <w:ind w:firstLine="1772" w:firstLineChars="633"/>
        <w:rPr>
          <w:rFonts w:hint="eastAsia" w:ascii="宋体" w:hAnsi="宋体" w:eastAsia="宋体" w:cs="宋体"/>
          <w:color w:val="auto"/>
          <w:sz w:val="28"/>
          <w:szCs w:val="30"/>
        </w:rPr>
      </w:pPr>
      <w:r>
        <w:rPr>
          <w:rFonts w:hint="eastAsia" w:ascii="宋体" w:hAnsi="宋体" w:eastAsia="宋体" w:cs="宋体"/>
          <w:color w:val="auto"/>
          <w:sz w:val="28"/>
          <w:szCs w:val="30"/>
        </w:rPr>
        <w:t>电话：</w:t>
      </w:r>
      <w:r>
        <w:rPr>
          <w:rFonts w:hint="eastAsia" w:ascii="宋体" w:hAnsi="宋体" w:eastAsia="宋体" w:cs="宋体"/>
          <w:color w:val="auto"/>
          <w:sz w:val="28"/>
          <w:szCs w:val="30"/>
          <w:u w:val="single"/>
        </w:rPr>
        <w:t xml:space="preserve">                           </w:t>
      </w:r>
      <w:r>
        <w:rPr>
          <w:rFonts w:hint="eastAsia" w:ascii="宋体" w:hAnsi="宋体" w:eastAsia="宋体" w:cs="宋体"/>
          <w:color w:val="auto"/>
          <w:sz w:val="28"/>
          <w:szCs w:val="30"/>
        </w:rPr>
        <w:t xml:space="preserve">                               </w:t>
      </w:r>
    </w:p>
    <w:p w14:paraId="5EFDD660">
      <w:pPr>
        <w:tabs>
          <w:tab w:val="right" w:pos="4860"/>
        </w:tabs>
        <w:adjustRightInd w:val="0"/>
        <w:snapToGrid w:val="0"/>
        <w:spacing w:line="324" w:lineRule="auto"/>
        <w:ind w:firstLine="1454" w:firstLineChars="661"/>
        <w:rPr>
          <w:rFonts w:hint="eastAsia" w:ascii="宋体" w:hAnsi="宋体" w:eastAsia="宋体" w:cs="宋体"/>
          <w:color w:val="auto"/>
          <w:sz w:val="22"/>
          <w:szCs w:val="24"/>
        </w:rPr>
      </w:pPr>
    </w:p>
    <w:p w14:paraId="56836AC8">
      <w:pPr>
        <w:tabs>
          <w:tab w:val="right" w:pos="4860"/>
        </w:tabs>
        <w:adjustRightInd w:val="0"/>
        <w:snapToGrid w:val="0"/>
        <w:spacing w:line="324" w:lineRule="auto"/>
        <w:ind w:firstLine="1454" w:firstLineChars="661"/>
        <w:rPr>
          <w:rFonts w:hint="eastAsia" w:ascii="宋体" w:hAnsi="宋体" w:eastAsia="宋体" w:cs="宋体"/>
          <w:color w:val="auto"/>
          <w:sz w:val="22"/>
          <w:szCs w:val="24"/>
        </w:rPr>
      </w:pPr>
    </w:p>
    <w:p w14:paraId="73DC01CA">
      <w:pPr>
        <w:pStyle w:val="7"/>
        <w:rPr>
          <w:rFonts w:hint="eastAsia" w:ascii="宋体" w:hAnsi="宋体" w:eastAsia="宋体" w:cs="宋体"/>
          <w:color w:val="auto"/>
        </w:rPr>
      </w:pPr>
    </w:p>
    <w:p w14:paraId="00F7F58A">
      <w:pPr>
        <w:pStyle w:val="2"/>
        <w:rPr>
          <w:rFonts w:hint="eastAsia" w:ascii="宋体" w:hAnsi="宋体" w:eastAsia="宋体" w:cs="宋体"/>
          <w:color w:val="auto"/>
          <w:sz w:val="20"/>
        </w:rPr>
      </w:pPr>
    </w:p>
    <w:p w14:paraId="56C7E16A">
      <w:pPr>
        <w:spacing w:line="360" w:lineRule="auto"/>
        <w:ind w:firstLine="602" w:firstLineChars="300"/>
        <w:rPr>
          <w:rFonts w:hint="eastAsia" w:ascii="宋体" w:hAnsi="宋体" w:eastAsia="宋体" w:cs="宋体"/>
          <w:b/>
          <w:color w:val="auto"/>
          <w:sz w:val="20"/>
          <w:szCs w:val="21"/>
        </w:rPr>
      </w:pPr>
      <w:r>
        <w:rPr>
          <w:rFonts w:hint="eastAsia" w:ascii="宋体" w:hAnsi="宋体" w:eastAsia="宋体" w:cs="宋体"/>
          <w:b/>
          <w:color w:val="auto"/>
          <w:sz w:val="20"/>
          <w:szCs w:val="21"/>
        </w:rPr>
        <w:t>注：本合同仅为合同的参考文本，合同签订双方可根据项目的具体要求进行修订。</w:t>
      </w:r>
    </w:p>
    <w:p w14:paraId="7C68E54E">
      <w:pPr>
        <w:spacing w:line="360" w:lineRule="auto"/>
        <w:rPr>
          <w:rFonts w:hint="eastAsia" w:ascii="宋体" w:hAnsi="宋体" w:eastAsia="宋体" w:cs="宋体"/>
          <w:color w:val="auto"/>
          <w:sz w:val="22"/>
          <w:szCs w:val="24"/>
        </w:rPr>
      </w:pPr>
    </w:p>
    <w:p w14:paraId="4470AA91">
      <w:pPr>
        <w:pStyle w:val="2"/>
        <w:rPr>
          <w:rFonts w:hint="eastAsia" w:ascii="宋体" w:hAnsi="宋体" w:eastAsia="宋体" w:cs="宋体"/>
          <w:color w:val="auto"/>
          <w:sz w:val="20"/>
        </w:rPr>
      </w:pPr>
    </w:p>
    <w:p w14:paraId="54AE7645">
      <w:pPr>
        <w:rPr>
          <w:rFonts w:hint="eastAsia" w:ascii="宋体" w:hAnsi="宋体" w:eastAsia="宋体" w:cs="宋体"/>
          <w:color w:val="auto"/>
          <w:sz w:val="20"/>
        </w:rPr>
      </w:pPr>
    </w:p>
    <w:p w14:paraId="68E20F63">
      <w:pPr>
        <w:pStyle w:val="2"/>
        <w:rPr>
          <w:rFonts w:hint="eastAsia" w:ascii="宋体" w:hAnsi="宋体" w:eastAsia="宋体" w:cs="宋体"/>
          <w:color w:val="auto"/>
          <w:sz w:val="20"/>
        </w:rPr>
      </w:pPr>
    </w:p>
    <w:p w14:paraId="64137E97">
      <w:pPr>
        <w:rPr>
          <w:rFonts w:hint="eastAsia" w:ascii="宋体" w:hAnsi="宋体" w:eastAsia="宋体" w:cs="宋体"/>
          <w:color w:val="auto"/>
          <w:sz w:val="20"/>
        </w:rPr>
      </w:pPr>
    </w:p>
    <w:p w14:paraId="477CBDD4">
      <w:pPr>
        <w:pStyle w:val="2"/>
        <w:rPr>
          <w:rFonts w:hint="eastAsia" w:ascii="宋体" w:hAnsi="宋体" w:eastAsia="宋体" w:cs="宋体"/>
          <w:color w:val="auto"/>
          <w:sz w:val="20"/>
        </w:rPr>
      </w:pPr>
    </w:p>
    <w:p w14:paraId="001A9CEF">
      <w:pPr>
        <w:rPr>
          <w:rFonts w:hint="eastAsia"/>
        </w:rPr>
      </w:pPr>
    </w:p>
    <w:p w14:paraId="5158A382">
      <w:pPr>
        <w:rPr>
          <w:rFonts w:hint="eastAsia" w:ascii="宋体" w:hAnsi="宋体" w:eastAsia="宋体" w:cs="宋体"/>
          <w:color w:val="auto"/>
        </w:rPr>
      </w:pPr>
    </w:p>
    <w:p w14:paraId="35E6EBEA">
      <w:pPr>
        <w:pageBreakBefore w:val="0"/>
        <w:widowControl w:val="0"/>
        <w:kinsoku/>
        <w:wordWrap/>
        <w:overflowPunct/>
        <w:topLinePunct w:val="0"/>
        <w:bidi w:val="0"/>
        <w:spacing w:line="336" w:lineRule="auto"/>
        <w:ind w:firstLine="211" w:firstLineChars="100"/>
        <w:textAlignment w:val="auto"/>
        <w:rPr>
          <w:rFonts w:hint="eastAsia" w:ascii="宋体" w:hAnsi="宋体" w:eastAsia="宋体" w:cs="宋体"/>
          <w:b/>
          <w:color w:val="auto"/>
          <w:kern w:val="28"/>
          <w:sz w:val="21"/>
          <w:szCs w:val="21"/>
        </w:rPr>
      </w:pPr>
      <w:bookmarkStart w:id="0" w:name="_Toc4683207"/>
    </w:p>
    <w:p w14:paraId="5A742E1A">
      <w:pPr>
        <w:pageBreakBefore w:val="0"/>
        <w:widowControl w:val="0"/>
        <w:kinsoku/>
        <w:wordWrap/>
        <w:overflowPunct/>
        <w:topLinePunct w:val="0"/>
        <w:bidi w:val="0"/>
        <w:spacing w:line="336" w:lineRule="auto"/>
        <w:ind w:firstLine="221" w:firstLineChars="100"/>
        <w:textAlignment w:val="auto"/>
        <w:rPr>
          <w:rFonts w:hint="eastAsia" w:ascii="宋体" w:hAnsi="宋体" w:eastAsia="宋体" w:cs="宋体"/>
          <w:b/>
          <w:color w:val="auto"/>
          <w:kern w:val="28"/>
          <w:sz w:val="22"/>
          <w:szCs w:val="22"/>
          <w:lang w:eastAsia="zh-CN"/>
        </w:rPr>
      </w:pPr>
      <w:r>
        <w:rPr>
          <w:rFonts w:hint="eastAsia" w:ascii="宋体" w:hAnsi="宋体" w:eastAsia="宋体" w:cs="宋体"/>
          <w:b/>
          <w:color w:val="auto"/>
          <w:kern w:val="28"/>
          <w:sz w:val="22"/>
          <w:szCs w:val="22"/>
        </w:rPr>
        <w:t>甲方：</w:t>
      </w:r>
    </w:p>
    <w:p w14:paraId="53A4FC8A">
      <w:pPr>
        <w:pageBreakBefore w:val="0"/>
        <w:widowControl w:val="0"/>
        <w:kinsoku/>
        <w:wordWrap/>
        <w:overflowPunct/>
        <w:topLinePunct w:val="0"/>
        <w:bidi w:val="0"/>
        <w:spacing w:line="336" w:lineRule="auto"/>
        <w:ind w:firstLine="221" w:firstLineChars="100"/>
        <w:textAlignment w:val="auto"/>
        <w:rPr>
          <w:rFonts w:hint="eastAsia" w:ascii="宋体" w:hAnsi="宋体" w:eastAsia="宋体" w:cs="宋体"/>
          <w:color w:val="auto"/>
          <w:kern w:val="28"/>
          <w:sz w:val="22"/>
          <w:szCs w:val="22"/>
        </w:rPr>
      </w:pPr>
      <w:r>
        <w:rPr>
          <w:rFonts w:hint="eastAsia" w:ascii="宋体" w:hAnsi="宋体" w:eastAsia="宋体" w:cs="宋体"/>
          <w:b/>
          <w:color w:val="auto"/>
          <w:kern w:val="28"/>
          <w:sz w:val="22"/>
          <w:szCs w:val="22"/>
        </w:rPr>
        <w:t xml:space="preserve">乙方：        </w:t>
      </w:r>
      <w:r>
        <w:rPr>
          <w:rFonts w:hint="eastAsia" w:ascii="宋体" w:hAnsi="宋体" w:eastAsia="宋体" w:cs="宋体"/>
          <w:color w:val="auto"/>
          <w:kern w:val="28"/>
          <w:sz w:val="22"/>
          <w:szCs w:val="22"/>
        </w:rPr>
        <w:t xml:space="preserve">             </w:t>
      </w:r>
    </w:p>
    <w:p w14:paraId="1F874B06">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甲方与乙方依据《中华人民共和国</w:t>
      </w:r>
      <w:r>
        <w:rPr>
          <w:rFonts w:hint="eastAsia" w:ascii="宋体" w:hAnsi="宋体" w:eastAsia="宋体" w:cs="宋体"/>
          <w:color w:val="auto"/>
          <w:kern w:val="28"/>
          <w:sz w:val="22"/>
          <w:szCs w:val="22"/>
          <w:lang w:eastAsia="zh-CN"/>
        </w:rPr>
        <w:t>民法典</w:t>
      </w:r>
      <w:r>
        <w:rPr>
          <w:rFonts w:hint="eastAsia" w:ascii="宋体" w:hAnsi="宋体" w:eastAsia="宋体" w:cs="宋体"/>
          <w:color w:val="auto"/>
          <w:kern w:val="28"/>
          <w:sz w:val="22"/>
          <w:szCs w:val="22"/>
        </w:rPr>
        <w:t>》及其他有关法律法规，遵循平等、自愿、公平和诚实信用的原则，甲、乙双方就</w:t>
      </w:r>
      <w:r>
        <w:rPr>
          <w:rFonts w:hint="eastAsia" w:ascii="宋体" w:hAnsi="宋体" w:eastAsia="宋体" w:cs="宋体"/>
          <w:color w:val="auto"/>
          <w:kern w:val="28"/>
          <w:sz w:val="22"/>
          <w:szCs w:val="22"/>
          <w:lang w:eastAsia="zh-CN"/>
        </w:rPr>
        <w:t>清洁煤采购项目</w:t>
      </w:r>
      <w:r>
        <w:rPr>
          <w:rFonts w:hint="eastAsia" w:ascii="宋体" w:hAnsi="宋体" w:eastAsia="宋体" w:cs="宋体"/>
          <w:color w:val="auto"/>
          <w:kern w:val="28"/>
          <w:sz w:val="22"/>
          <w:szCs w:val="22"/>
        </w:rPr>
        <w:t>相关事项达成一致意见，订立本合同。</w:t>
      </w:r>
    </w:p>
    <w:p w14:paraId="6E1EE3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 w:name="_Toc495595342"/>
      <w:bookmarkStart w:id="2" w:name="_Toc495995190"/>
      <w:bookmarkStart w:id="3" w:name="_Toc505152652"/>
      <w:bookmarkStart w:id="4" w:name="_Toc505343696"/>
      <w:bookmarkStart w:id="5" w:name="_Toc27821"/>
      <w:bookmarkStart w:id="6" w:name="_Toc505343764"/>
      <w:bookmarkStart w:id="7" w:name="_Toc2577"/>
      <w:r>
        <w:rPr>
          <w:rFonts w:hint="eastAsia" w:ascii="宋体" w:hAnsi="宋体" w:eastAsia="宋体" w:cs="宋体"/>
          <w:b/>
          <w:color w:val="auto"/>
          <w:sz w:val="22"/>
          <w:szCs w:val="22"/>
        </w:rPr>
        <w:t>一、项目范围</w:t>
      </w:r>
      <w:bookmarkEnd w:id="1"/>
      <w:bookmarkEnd w:id="2"/>
      <w:bookmarkEnd w:id="3"/>
      <w:bookmarkEnd w:id="4"/>
      <w:bookmarkEnd w:id="5"/>
      <w:bookmarkEnd w:id="6"/>
      <w:r>
        <w:rPr>
          <w:rFonts w:hint="eastAsia" w:ascii="宋体" w:hAnsi="宋体" w:eastAsia="宋体" w:cs="宋体"/>
          <w:b/>
          <w:color w:val="auto"/>
          <w:sz w:val="22"/>
          <w:szCs w:val="22"/>
        </w:rPr>
        <w:t xml:space="preserve"> </w:t>
      </w:r>
    </w:p>
    <w:p w14:paraId="7AFB0BA5">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完成“</w:t>
      </w:r>
      <w:r>
        <w:rPr>
          <w:rFonts w:hint="eastAsia" w:ascii="宋体" w:hAnsi="宋体" w:eastAsia="宋体" w:cs="宋体"/>
          <w:color w:val="auto"/>
          <w:kern w:val="28"/>
          <w:sz w:val="22"/>
          <w:szCs w:val="22"/>
          <w:lang w:eastAsia="zh-CN"/>
        </w:rPr>
        <w:t>清洁煤采购项目</w:t>
      </w:r>
      <w:r>
        <w:rPr>
          <w:rFonts w:hint="eastAsia" w:ascii="宋体" w:hAnsi="宋体" w:eastAsia="宋体" w:cs="宋体"/>
          <w:color w:val="auto"/>
          <w:kern w:val="28"/>
          <w:sz w:val="22"/>
          <w:szCs w:val="22"/>
        </w:rPr>
        <w:t>”，对采购文件中采购内容及技术要求进行逐一实现。</w:t>
      </w:r>
      <w:bookmarkEnd w:id="7"/>
    </w:p>
    <w:p w14:paraId="6FA01F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8" w:name="_Toc505152653"/>
      <w:bookmarkStart w:id="9" w:name="_Toc495995191"/>
      <w:bookmarkStart w:id="10" w:name="_Toc495595343"/>
      <w:bookmarkStart w:id="11" w:name="_Toc505343697"/>
      <w:bookmarkStart w:id="12" w:name="_Toc505343765"/>
      <w:bookmarkStart w:id="13" w:name="_Toc30444"/>
      <w:bookmarkStart w:id="14" w:name="_Toc8509"/>
      <w:bookmarkStart w:id="15" w:name="_Toc5037"/>
      <w:bookmarkStart w:id="16" w:name="_Toc8049"/>
      <w:bookmarkStart w:id="17" w:name="_Toc10716"/>
      <w:r>
        <w:rPr>
          <w:rFonts w:hint="eastAsia" w:ascii="宋体" w:hAnsi="宋体" w:eastAsia="宋体" w:cs="宋体"/>
          <w:b/>
          <w:color w:val="auto"/>
          <w:sz w:val="22"/>
          <w:szCs w:val="22"/>
        </w:rPr>
        <w:t>二、</w:t>
      </w:r>
      <w:bookmarkEnd w:id="8"/>
      <w:bookmarkEnd w:id="9"/>
      <w:bookmarkEnd w:id="10"/>
      <w:bookmarkEnd w:id="11"/>
      <w:bookmarkEnd w:id="12"/>
      <w:r>
        <w:rPr>
          <w:rFonts w:hint="eastAsia" w:ascii="宋体" w:hAnsi="宋体" w:eastAsia="宋体" w:cs="宋体"/>
          <w:b/>
          <w:color w:val="auto"/>
          <w:sz w:val="22"/>
          <w:szCs w:val="22"/>
          <w:lang w:eastAsia="zh-CN"/>
        </w:rPr>
        <w:t>交货</w:t>
      </w:r>
      <w:r>
        <w:rPr>
          <w:rFonts w:hint="eastAsia" w:ascii="宋体" w:hAnsi="宋体" w:eastAsia="宋体" w:cs="宋体"/>
          <w:b/>
          <w:color w:val="auto"/>
          <w:sz w:val="22"/>
          <w:szCs w:val="22"/>
        </w:rPr>
        <w:t>期</w:t>
      </w:r>
      <w:bookmarkEnd w:id="13"/>
      <w:bookmarkEnd w:id="14"/>
      <w:bookmarkEnd w:id="15"/>
      <w:bookmarkEnd w:id="16"/>
      <w:bookmarkEnd w:id="17"/>
    </w:p>
    <w:p w14:paraId="0DC75C31">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lang w:eastAsia="zh-CN"/>
        </w:rPr>
        <w:t>交货期：</w:t>
      </w:r>
      <w:r>
        <w:rPr>
          <w:rFonts w:hint="eastAsia" w:ascii="宋体" w:hAnsi="宋体" w:eastAsia="宋体" w:cs="宋体"/>
          <w:color w:val="auto"/>
          <w:kern w:val="28"/>
          <w:sz w:val="22"/>
          <w:szCs w:val="22"/>
          <w:lang w:val="en-US" w:eastAsia="zh-CN"/>
        </w:rPr>
        <w:t>根据采购人需求。</w:t>
      </w:r>
      <w:r>
        <w:rPr>
          <w:rFonts w:hint="eastAsia" w:ascii="宋体" w:hAnsi="宋体" w:eastAsia="宋体" w:cs="宋体"/>
          <w:color w:val="auto"/>
          <w:kern w:val="28"/>
          <w:sz w:val="22"/>
          <w:szCs w:val="22"/>
        </w:rPr>
        <w:t xml:space="preserve">      </w:t>
      </w:r>
    </w:p>
    <w:p w14:paraId="30078C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8" w:name="_Toc505152654"/>
      <w:bookmarkStart w:id="19" w:name="_Toc29348"/>
      <w:bookmarkStart w:id="20" w:name="_Toc505343766"/>
      <w:bookmarkStart w:id="21" w:name="_Toc495995192"/>
      <w:bookmarkStart w:id="22" w:name="_Toc8317"/>
      <w:bookmarkStart w:id="23" w:name="_Toc12759"/>
      <w:bookmarkStart w:id="24" w:name="_Toc495595344"/>
      <w:bookmarkStart w:id="25" w:name="_Toc505343698"/>
      <w:bookmarkStart w:id="26" w:name="_Toc20083"/>
      <w:bookmarkStart w:id="27" w:name="_Toc26359"/>
      <w:r>
        <w:rPr>
          <w:rFonts w:hint="eastAsia" w:ascii="宋体" w:hAnsi="宋体" w:eastAsia="宋体" w:cs="宋体"/>
          <w:b/>
          <w:color w:val="auto"/>
          <w:sz w:val="22"/>
          <w:szCs w:val="22"/>
        </w:rPr>
        <w:t>三、合同文件及解释</w:t>
      </w:r>
      <w:bookmarkEnd w:id="18"/>
      <w:bookmarkEnd w:id="19"/>
      <w:bookmarkEnd w:id="20"/>
      <w:bookmarkEnd w:id="21"/>
      <w:bookmarkEnd w:id="22"/>
      <w:bookmarkEnd w:id="23"/>
      <w:bookmarkEnd w:id="24"/>
      <w:bookmarkEnd w:id="25"/>
      <w:bookmarkEnd w:id="26"/>
      <w:bookmarkEnd w:id="27"/>
    </w:p>
    <w:p w14:paraId="76CB64D4">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合同协议书</w:t>
      </w:r>
    </w:p>
    <w:p w14:paraId="649FD2EE">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成交通知书</w:t>
      </w:r>
    </w:p>
    <w:p w14:paraId="3ADA518B">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lang w:eastAsia="zh-CN"/>
        </w:rPr>
        <w:t>招标</w:t>
      </w:r>
      <w:r>
        <w:rPr>
          <w:rFonts w:hint="eastAsia" w:ascii="宋体" w:hAnsi="宋体" w:eastAsia="宋体" w:cs="宋体"/>
          <w:color w:val="auto"/>
          <w:kern w:val="28"/>
          <w:sz w:val="22"/>
          <w:szCs w:val="22"/>
        </w:rPr>
        <w:t>文件及</w:t>
      </w:r>
      <w:r>
        <w:rPr>
          <w:rFonts w:hint="eastAsia" w:ascii="宋体" w:hAnsi="宋体" w:eastAsia="宋体" w:cs="宋体"/>
          <w:color w:val="auto"/>
          <w:kern w:val="28"/>
          <w:sz w:val="22"/>
          <w:szCs w:val="22"/>
          <w:lang w:eastAsia="zh-CN"/>
        </w:rPr>
        <w:t>招标</w:t>
      </w:r>
      <w:r>
        <w:rPr>
          <w:rFonts w:hint="eastAsia" w:ascii="宋体" w:hAnsi="宋体" w:eastAsia="宋体" w:cs="宋体"/>
          <w:color w:val="auto"/>
          <w:kern w:val="28"/>
          <w:sz w:val="22"/>
          <w:szCs w:val="22"/>
        </w:rPr>
        <w:t>补遗文件</w:t>
      </w:r>
    </w:p>
    <w:p w14:paraId="3BC21D0E">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lang w:eastAsia="zh-CN"/>
        </w:rPr>
      </w:pPr>
      <w:r>
        <w:rPr>
          <w:rFonts w:hint="eastAsia" w:ascii="宋体" w:hAnsi="宋体" w:eastAsia="宋体" w:cs="宋体"/>
          <w:color w:val="auto"/>
          <w:kern w:val="28"/>
          <w:sz w:val="22"/>
          <w:szCs w:val="22"/>
          <w:lang w:eastAsia="zh-CN"/>
        </w:rPr>
        <w:t>投标文件</w:t>
      </w:r>
    </w:p>
    <w:p w14:paraId="63FAC991">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技术标准、规范</w:t>
      </w:r>
    </w:p>
    <w:p w14:paraId="16CFF439">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工作计划、技术方案及售后服务等技术文件</w:t>
      </w:r>
    </w:p>
    <w:p w14:paraId="1898125F">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质量保证承诺</w:t>
      </w:r>
    </w:p>
    <w:p w14:paraId="015056B5">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其他合同文件</w:t>
      </w:r>
    </w:p>
    <w:p w14:paraId="41757D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28" w:name="_Toc28187"/>
      <w:bookmarkStart w:id="29" w:name="_Toc505343699"/>
      <w:bookmarkStart w:id="30" w:name="_Toc14884"/>
      <w:bookmarkStart w:id="31" w:name="_Toc20319"/>
      <w:bookmarkStart w:id="32" w:name="_Toc505343767"/>
      <w:bookmarkStart w:id="33" w:name="_Toc505152655"/>
      <w:bookmarkStart w:id="34" w:name="_Toc17361"/>
      <w:bookmarkStart w:id="35" w:name="_Toc495995193"/>
      <w:bookmarkStart w:id="36" w:name="_Toc495595345"/>
      <w:bookmarkStart w:id="37" w:name="_Toc28465"/>
      <w:r>
        <w:rPr>
          <w:rFonts w:hint="eastAsia" w:ascii="宋体" w:hAnsi="宋体" w:eastAsia="宋体" w:cs="宋体"/>
          <w:b/>
          <w:color w:val="auto"/>
          <w:sz w:val="22"/>
          <w:szCs w:val="22"/>
        </w:rPr>
        <w:t>四、合同价款、结算与支付</w:t>
      </w:r>
      <w:bookmarkEnd w:id="28"/>
      <w:bookmarkEnd w:id="29"/>
      <w:bookmarkEnd w:id="30"/>
      <w:bookmarkEnd w:id="31"/>
      <w:bookmarkEnd w:id="32"/>
      <w:bookmarkEnd w:id="33"/>
      <w:bookmarkEnd w:id="34"/>
      <w:bookmarkEnd w:id="35"/>
      <w:bookmarkEnd w:id="36"/>
      <w:bookmarkEnd w:id="37"/>
    </w:p>
    <w:p w14:paraId="569C6A0D">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1、本合同总价款</w:t>
      </w:r>
    </w:p>
    <w:p w14:paraId="293B4D8A">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kern w:val="28"/>
          <w:sz w:val="22"/>
          <w:szCs w:val="22"/>
        </w:rPr>
        <w:t>本合同总价款为</w:t>
      </w:r>
      <w:r>
        <w:rPr>
          <w:rFonts w:hint="eastAsia" w:ascii="宋体" w:hAnsi="宋体" w:eastAsia="宋体" w:cs="宋体"/>
          <w:b/>
          <w:bCs/>
          <w:color w:val="auto"/>
          <w:kern w:val="28"/>
          <w:sz w:val="22"/>
          <w:szCs w:val="22"/>
          <w:u w:val="single"/>
        </w:rPr>
        <w:t xml:space="preserve">RMB </w:t>
      </w:r>
      <w:r>
        <w:rPr>
          <w:rFonts w:hint="eastAsia" w:ascii="宋体" w:hAnsi="宋体" w:eastAsia="宋体" w:cs="宋体"/>
          <w:b/>
          <w:bCs/>
          <w:color w:val="auto"/>
          <w:kern w:val="28"/>
          <w:sz w:val="22"/>
          <w:szCs w:val="22"/>
          <w:u w:val="single"/>
          <w:lang w:val="en-US" w:eastAsia="zh-CN"/>
        </w:rPr>
        <w:t xml:space="preserve">           </w:t>
      </w:r>
      <w:r>
        <w:rPr>
          <w:rFonts w:hint="eastAsia" w:ascii="宋体" w:hAnsi="宋体" w:eastAsia="宋体" w:cs="宋体"/>
          <w:b/>
          <w:bCs/>
          <w:color w:val="auto"/>
          <w:kern w:val="28"/>
          <w:sz w:val="22"/>
          <w:szCs w:val="22"/>
          <w:u w:val="single"/>
        </w:rPr>
        <w:t xml:space="preserve"> 元（人民币大写：</w:t>
      </w:r>
      <w:r>
        <w:rPr>
          <w:rFonts w:hint="eastAsia" w:ascii="宋体" w:hAnsi="宋体" w:eastAsia="宋体" w:cs="宋体"/>
          <w:b/>
          <w:bCs/>
          <w:color w:val="auto"/>
          <w:kern w:val="28"/>
          <w:sz w:val="22"/>
          <w:szCs w:val="22"/>
          <w:u w:val="single"/>
          <w:lang w:val="en-US" w:eastAsia="zh-CN"/>
        </w:rPr>
        <w:t xml:space="preserve">          </w:t>
      </w:r>
      <w:r>
        <w:rPr>
          <w:rFonts w:hint="eastAsia" w:ascii="宋体" w:hAnsi="宋体" w:eastAsia="宋体" w:cs="宋体"/>
          <w:b/>
          <w:bCs/>
          <w:color w:val="auto"/>
          <w:kern w:val="28"/>
          <w:sz w:val="22"/>
          <w:szCs w:val="22"/>
          <w:u w:val="single"/>
        </w:rPr>
        <w:t>元)</w:t>
      </w:r>
      <w:r>
        <w:rPr>
          <w:rFonts w:hint="eastAsia" w:ascii="宋体" w:hAnsi="宋体" w:eastAsia="宋体" w:cs="宋体"/>
          <w:color w:val="auto"/>
          <w:kern w:val="28"/>
          <w:sz w:val="22"/>
          <w:szCs w:val="22"/>
        </w:rPr>
        <w:t>，该合同总价包括货物价（含税）、售后服务费、保险费、相关伴随费用等及市场价格风险在内等一切费用</w:t>
      </w:r>
      <w:r>
        <w:rPr>
          <w:rFonts w:hint="eastAsia" w:ascii="宋体" w:hAnsi="宋体" w:eastAsia="宋体" w:cs="宋体"/>
          <w:color w:val="auto"/>
          <w:sz w:val="22"/>
          <w:szCs w:val="22"/>
        </w:rPr>
        <w:t>。</w:t>
      </w:r>
    </w:p>
    <w:tbl>
      <w:tblPr>
        <w:tblStyle w:val="5"/>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81"/>
        <w:gridCol w:w="1206"/>
        <w:gridCol w:w="1092"/>
        <w:gridCol w:w="774"/>
        <w:gridCol w:w="1024"/>
        <w:gridCol w:w="1024"/>
        <w:gridCol w:w="1024"/>
        <w:gridCol w:w="1024"/>
      </w:tblGrid>
      <w:tr w14:paraId="528EC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noWrap w:val="0"/>
            <w:vAlign w:val="center"/>
          </w:tcPr>
          <w:p w14:paraId="61798678">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序号</w:t>
            </w:r>
          </w:p>
        </w:tc>
        <w:tc>
          <w:tcPr>
            <w:tcW w:w="1281" w:type="dxa"/>
            <w:noWrap w:val="0"/>
            <w:vAlign w:val="center"/>
          </w:tcPr>
          <w:p w14:paraId="47AC3C99">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产品名称</w:t>
            </w:r>
          </w:p>
        </w:tc>
        <w:tc>
          <w:tcPr>
            <w:tcW w:w="1206" w:type="dxa"/>
            <w:noWrap w:val="0"/>
            <w:vAlign w:val="center"/>
          </w:tcPr>
          <w:p w14:paraId="25FBE664">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规格型号</w:t>
            </w:r>
          </w:p>
        </w:tc>
        <w:tc>
          <w:tcPr>
            <w:tcW w:w="1092" w:type="dxa"/>
            <w:noWrap w:val="0"/>
            <w:vAlign w:val="center"/>
          </w:tcPr>
          <w:p w14:paraId="713B2055">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品牌、原产地</w:t>
            </w:r>
            <w:bookmarkStart w:id="203" w:name="_GoBack"/>
            <w:bookmarkEnd w:id="203"/>
          </w:p>
        </w:tc>
        <w:tc>
          <w:tcPr>
            <w:tcW w:w="774" w:type="dxa"/>
            <w:noWrap w:val="0"/>
            <w:vAlign w:val="center"/>
          </w:tcPr>
          <w:p w14:paraId="435490C0">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单位</w:t>
            </w:r>
          </w:p>
        </w:tc>
        <w:tc>
          <w:tcPr>
            <w:tcW w:w="1024" w:type="dxa"/>
            <w:noWrap w:val="0"/>
            <w:vAlign w:val="center"/>
          </w:tcPr>
          <w:p w14:paraId="28517E89">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数量</w:t>
            </w:r>
          </w:p>
        </w:tc>
        <w:tc>
          <w:tcPr>
            <w:tcW w:w="1024" w:type="dxa"/>
            <w:noWrap w:val="0"/>
            <w:vAlign w:val="center"/>
          </w:tcPr>
          <w:p w14:paraId="6F883738">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综合单价（元）</w:t>
            </w:r>
          </w:p>
        </w:tc>
        <w:tc>
          <w:tcPr>
            <w:tcW w:w="1024" w:type="dxa"/>
            <w:noWrap w:val="0"/>
            <w:vAlign w:val="center"/>
          </w:tcPr>
          <w:p w14:paraId="78C2BFC3">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合价（元）</w:t>
            </w:r>
          </w:p>
        </w:tc>
        <w:tc>
          <w:tcPr>
            <w:tcW w:w="1024" w:type="dxa"/>
            <w:noWrap w:val="0"/>
            <w:vAlign w:val="center"/>
          </w:tcPr>
          <w:p w14:paraId="5B809C68">
            <w:pPr>
              <w:pageBreakBefore w:val="0"/>
              <w:widowControl w:val="0"/>
              <w:kinsoku/>
              <w:wordWrap/>
              <w:overflowPunct/>
              <w:topLinePunct w:val="0"/>
              <w:bidi w:val="0"/>
              <w:spacing w:line="336" w:lineRule="auto"/>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备注</w:t>
            </w:r>
          </w:p>
        </w:tc>
      </w:tr>
      <w:tr w14:paraId="3418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noWrap w:val="0"/>
            <w:vAlign w:val="top"/>
          </w:tcPr>
          <w:p w14:paraId="358D2673">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w:t>
            </w:r>
          </w:p>
        </w:tc>
        <w:tc>
          <w:tcPr>
            <w:tcW w:w="1281" w:type="dxa"/>
            <w:noWrap w:val="0"/>
            <w:vAlign w:val="top"/>
          </w:tcPr>
          <w:p w14:paraId="00D573E4">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206" w:type="dxa"/>
            <w:noWrap w:val="0"/>
            <w:vAlign w:val="top"/>
          </w:tcPr>
          <w:p w14:paraId="40A03006">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92" w:type="dxa"/>
            <w:noWrap w:val="0"/>
            <w:vAlign w:val="top"/>
          </w:tcPr>
          <w:p w14:paraId="1D4C1399">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774" w:type="dxa"/>
            <w:noWrap w:val="0"/>
            <w:vAlign w:val="top"/>
          </w:tcPr>
          <w:p w14:paraId="292AB6FF">
            <w:pPr>
              <w:pStyle w:val="4"/>
              <w:pageBreakBefore w:val="0"/>
              <w:widowControl w:val="0"/>
              <w:kinsoku/>
              <w:wordWrap/>
              <w:overflowPunct/>
              <w:topLinePunct w:val="0"/>
              <w:bidi w:val="0"/>
              <w:spacing w:line="336" w:lineRule="auto"/>
              <w:ind w:left="0" w:leftChars="0" w:firstLine="0" w:firstLineChars="0"/>
              <w:textAlignment w:val="auto"/>
              <w:rPr>
                <w:rFonts w:hint="eastAsia" w:ascii="宋体" w:hAnsi="宋体" w:eastAsia="宋体" w:cs="宋体"/>
                <w:color w:val="auto"/>
                <w:sz w:val="22"/>
                <w:szCs w:val="22"/>
              </w:rPr>
            </w:pPr>
          </w:p>
        </w:tc>
        <w:tc>
          <w:tcPr>
            <w:tcW w:w="1024" w:type="dxa"/>
            <w:noWrap w:val="0"/>
            <w:vAlign w:val="top"/>
          </w:tcPr>
          <w:p w14:paraId="455559FD">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696947B8">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32040E10">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015B7A07">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r>
      <w:tr w14:paraId="436DE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noWrap w:val="0"/>
            <w:vAlign w:val="top"/>
          </w:tcPr>
          <w:p w14:paraId="63A10CD2">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w:t>
            </w:r>
          </w:p>
        </w:tc>
        <w:tc>
          <w:tcPr>
            <w:tcW w:w="1281" w:type="dxa"/>
            <w:noWrap w:val="0"/>
            <w:vAlign w:val="top"/>
          </w:tcPr>
          <w:p w14:paraId="58B622E8">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206" w:type="dxa"/>
            <w:noWrap w:val="0"/>
            <w:vAlign w:val="top"/>
          </w:tcPr>
          <w:p w14:paraId="02D50EEB">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92" w:type="dxa"/>
            <w:noWrap w:val="0"/>
            <w:vAlign w:val="top"/>
          </w:tcPr>
          <w:p w14:paraId="2C6A13FE">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774" w:type="dxa"/>
            <w:noWrap w:val="0"/>
            <w:vAlign w:val="top"/>
          </w:tcPr>
          <w:p w14:paraId="374CADF7">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71AA59EB">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1884FDD3">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34A56998">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20187A43">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r>
      <w:tr w14:paraId="17EC8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noWrap w:val="0"/>
            <w:vAlign w:val="top"/>
          </w:tcPr>
          <w:p w14:paraId="42BBAE5A">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3</w:t>
            </w:r>
          </w:p>
        </w:tc>
        <w:tc>
          <w:tcPr>
            <w:tcW w:w="1281" w:type="dxa"/>
            <w:noWrap w:val="0"/>
            <w:vAlign w:val="top"/>
          </w:tcPr>
          <w:p w14:paraId="2995693A">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206" w:type="dxa"/>
            <w:noWrap w:val="0"/>
            <w:vAlign w:val="top"/>
          </w:tcPr>
          <w:p w14:paraId="5712CDA2">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92" w:type="dxa"/>
            <w:noWrap w:val="0"/>
            <w:vAlign w:val="top"/>
          </w:tcPr>
          <w:p w14:paraId="24113CA3">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774" w:type="dxa"/>
            <w:noWrap w:val="0"/>
            <w:vAlign w:val="top"/>
          </w:tcPr>
          <w:p w14:paraId="097ED4FD">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1BA591C8">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625B373C">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7AA705B0">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c>
          <w:tcPr>
            <w:tcW w:w="1024" w:type="dxa"/>
            <w:noWrap w:val="0"/>
            <w:vAlign w:val="top"/>
          </w:tcPr>
          <w:p w14:paraId="2CAEFDA9">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p>
        </w:tc>
      </w:tr>
      <w:tr w14:paraId="20A7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5" w:type="dxa"/>
            <w:noWrap w:val="0"/>
            <w:vAlign w:val="top"/>
          </w:tcPr>
          <w:p w14:paraId="15B85760">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281" w:type="dxa"/>
            <w:noWrap w:val="0"/>
            <w:vAlign w:val="top"/>
          </w:tcPr>
          <w:p w14:paraId="31D20F89">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206" w:type="dxa"/>
            <w:noWrap w:val="0"/>
            <w:vAlign w:val="top"/>
          </w:tcPr>
          <w:p w14:paraId="43731F68">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092" w:type="dxa"/>
            <w:noWrap w:val="0"/>
            <w:vAlign w:val="top"/>
          </w:tcPr>
          <w:p w14:paraId="59D87121">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774" w:type="dxa"/>
            <w:noWrap w:val="0"/>
            <w:vAlign w:val="top"/>
          </w:tcPr>
          <w:p w14:paraId="443C59E1">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024" w:type="dxa"/>
            <w:noWrap w:val="0"/>
            <w:vAlign w:val="top"/>
          </w:tcPr>
          <w:p w14:paraId="79539A03">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024" w:type="dxa"/>
            <w:noWrap w:val="0"/>
            <w:vAlign w:val="top"/>
          </w:tcPr>
          <w:p w14:paraId="7413DF93">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024" w:type="dxa"/>
            <w:noWrap w:val="0"/>
            <w:vAlign w:val="top"/>
          </w:tcPr>
          <w:p w14:paraId="061CA454">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024" w:type="dxa"/>
            <w:noWrap w:val="0"/>
            <w:vAlign w:val="top"/>
          </w:tcPr>
          <w:p w14:paraId="13B9103D">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w:t>
            </w:r>
          </w:p>
        </w:tc>
      </w:tr>
      <w:tr w14:paraId="00F2C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6" w:type="dxa"/>
            <w:gridSpan w:val="2"/>
            <w:noWrap w:val="0"/>
            <w:vAlign w:val="top"/>
          </w:tcPr>
          <w:p w14:paraId="26DCFEBB">
            <w:pPr>
              <w:pStyle w:val="4"/>
              <w:pageBreakBefore w:val="0"/>
              <w:widowControl w:val="0"/>
              <w:kinsoku/>
              <w:wordWrap/>
              <w:overflowPunct/>
              <w:topLinePunct w:val="0"/>
              <w:bidi w:val="0"/>
              <w:spacing w:line="336" w:lineRule="auto"/>
              <w:ind w:firstLine="0" w:firstLineChars="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合计金额（元）</w:t>
            </w:r>
          </w:p>
        </w:tc>
        <w:tc>
          <w:tcPr>
            <w:tcW w:w="3072" w:type="dxa"/>
            <w:gridSpan w:val="3"/>
            <w:noWrap w:val="0"/>
            <w:vAlign w:val="top"/>
          </w:tcPr>
          <w:p w14:paraId="0CD02CD6">
            <w:pPr>
              <w:pStyle w:val="4"/>
              <w:pageBreakBefore w:val="0"/>
              <w:widowControl w:val="0"/>
              <w:kinsoku/>
              <w:wordWrap/>
              <w:overflowPunct/>
              <w:topLinePunct w:val="0"/>
              <w:bidi w:val="0"/>
              <w:spacing w:line="336" w:lineRule="auto"/>
              <w:ind w:firstLine="480"/>
              <w:jc w:val="center"/>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大写</w:t>
            </w:r>
          </w:p>
        </w:tc>
        <w:tc>
          <w:tcPr>
            <w:tcW w:w="2048" w:type="dxa"/>
            <w:gridSpan w:val="2"/>
            <w:noWrap w:val="0"/>
            <w:vAlign w:val="top"/>
          </w:tcPr>
          <w:p w14:paraId="753E95E8">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小写</w:t>
            </w:r>
          </w:p>
        </w:tc>
        <w:tc>
          <w:tcPr>
            <w:tcW w:w="2048" w:type="dxa"/>
            <w:gridSpan w:val="2"/>
            <w:noWrap w:val="0"/>
            <w:vAlign w:val="top"/>
          </w:tcPr>
          <w:p w14:paraId="175677D8">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￥元</w:t>
            </w:r>
          </w:p>
        </w:tc>
      </w:tr>
    </w:tbl>
    <w:p w14:paraId="3C26FB91">
      <w:pPr>
        <w:pageBreakBefore w:val="0"/>
        <w:widowControl w:val="0"/>
        <w:kinsoku/>
        <w:wordWrap/>
        <w:overflowPunct/>
        <w:topLinePunct w:val="0"/>
        <w:bidi w:val="0"/>
        <w:spacing w:line="336" w:lineRule="auto"/>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2、支付方式: 合同款支付全部通过银行转账，</w:t>
      </w:r>
    </w:p>
    <w:p w14:paraId="459CBD62">
      <w:pPr>
        <w:pageBreakBefore w:val="0"/>
        <w:widowControl w:val="0"/>
        <w:tabs>
          <w:tab w:val="left" w:pos="3918"/>
        </w:tabs>
        <w:kinsoku/>
        <w:wordWrap/>
        <w:overflowPunct/>
        <w:topLinePunct w:val="0"/>
        <w:bidi w:val="0"/>
        <w:adjustRightInd w:val="0"/>
        <w:snapToGrid w:val="0"/>
        <w:spacing w:line="336" w:lineRule="auto"/>
        <w:ind w:firstLine="539" w:firstLineChars="245"/>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名称：</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 xml:space="preserve">                                   </w:t>
      </w:r>
    </w:p>
    <w:p w14:paraId="38952CCA">
      <w:pPr>
        <w:pageBreakBefore w:val="0"/>
        <w:widowControl w:val="0"/>
        <w:tabs>
          <w:tab w:val="left" w:pos="3918"/>
        </w:tabs>
        <w:kinsoku/>
        <w:wordWrap/>
        <w:overflowPunct/>
        <w:topLinePunct w:val="0"/>
        <w:bidi w:val="0"/>
        <w:adjustRightInd w:val="0"/>
        <w:snapToGrid w:val="0"/>
        <w:spacing w:line="336" w:lineRule="auto"/>
        <w:ind w:firstLine="539" w:firstLineChars="245"/>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开户行：</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 xml:space="preserve">           </w:t>
      </w:r>
    </w:p>
    <w:p w14:paraId="2163E330">
      <w:pPr>
        <w:pageBreakBefore w:val="0"/>
        <w:widowControl w:val="0"/>
        <w:tabs>
          <w:tab w:val="left" w:pos="3918"/>
        </w:tabs>
        <w:kinsoku/>
        <w:wordWrap/>
        <w:overflowPunct/>
        <w:topLinePunct w:val="0"/>
        <w:bidi w:val="0"/>
        <w:adjustRightInd w:val="0"/>
        <w:snapToGrid w:val="0"/>
        <w:spacing w:line="336" w:lineRule="auto"/>
        <w:ind w:firstLine="539" w:firstLineChars="245"/>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sz w:val="22"/>
          <w:szCs w:val="22"/>
        </w:rPr>
        <w:t>账号：</w:t>
      </w:r>
      <w:r>
        <w:rPr>
          <w:rFonts w:hint="eastAsia" w:ascii="宋体" w:hAnsi="宋体" w:eastAsia="宋体" w:cs="宋体"/>
          <w:color w:val="auto"/>
          <w:sz w:val="22"/>
          <w:szCs w:val="22"/>
          <w:u w:val="single"/>
          <w:lang w:val="en-US" w:eastAsia="zh-CN"/>
        </w:rPr>
        <w:t xml:space="preserve">                                       </w:t>
      </w:r>
    </w:p>
    <w:p w14:paraId="0EBDB6C4">
      <w:pPr>
        <w:pageBreakBefore w:val="0"/>
        <w:widowControl w:val="0"/>
        <w:kinsoku/>
        <w:wordWrap/>
        <w:overflowPunct/>
        <w:topLinePunct w:val="0"/>
        <w:bidi w:val="0"/>
        <w:spacing w:line="336" w:lineRule="auto"/>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 xml:space="preserve">2.1 付款方式: </w:t>
      </w:r>
    </w:p>
    <w:p w14:paraId="0F484003">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lang w:val="en-US" w:eastAsia="zh-CN"/>
        </w:rPr>
        <w:t>1）</w:t>
      </w:r>
      <w:r>
        <w:rPr>
          <w:rFonts w:hint="eastAsia" w:ascii="宋体" w:hAnsi="宋体" w:eastAsia="宋体" w:cs="宋体"/>
          <w:b w:val="0"/>
          <w:bCs w:val="0"/>
          <w:color w:val="auto"/>
          <w:kern w:val="2"/>
          <w:sz w:val="22"/>
          <w:szCs w:val="22"/>
          <w:highlight w:val="none"/>
          <w:lang w:val="en-US" w:eastAsia="zh-CN" w:bidi="ar-SA"/>
        </w:rPr>
        <w:t>全款预付</w:t>
      </w:r>
      <w:r>
        <w:rPr>
          <w:rFonts w:hint="eastAsia" w:ascii="宋体" w:hAnsi="宋体" w:eastAsia="宋体" w:cs="宋体"/>
          <w:color w:val="auto"/>
          <w:kern w:val="28"/>
          <w:sz w:val="22"/>
          <w:szCs w:val="22"/>
          <w:lang w:val="en-US" w:eastAsia="zh-CN"/>
        </w:rPr>
        <w:t>。</w:t>
      </w:r>
    </w:p>
    <w:p w14:paraId="02965F6A">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lang w:val="en-US" w:eastAsia="zh-CN"/>
        </w:rPr>
        <w:t>2）</w:t>
      </w:r>
      <w:r>
        <w:rPr>
          <w:rFonts w:hint="eastAsia" w:ascii="宋体" w:hAnsi="宋体" w:eastAsia="宋体" w:cs="宋体"/>
          <w:color w:val="auto"/>
          <w:kern w:val="28"/>
          <w:sz w:val="22"/>
          <w:szCs w:val="22"/>
        </w:rPr>
        <w:t>乙方须严格按照</w:t>
      </w:r>
      <w:r>
        <w:rPr>
          <w:rFonts w:hint="eastAsia" w:ascii="宋体" w:hAnsi="宋体" w:eastAsia="宋体" w:cs="宋体"/>
          <w:color w:val="auto"/>
          <w:kern w:val="28"/>
          <w:sz w:val="22"/>
          <w:szCs w:val="22"/>
          <w:lang w:eastAsia="zh-CN"/>
        </w:rPr>
        <w:t>采购人需求完成供货</w:t>
      </w:r>
      <w:r>
        <w:rPr>
          <w:rFonts w:hint="eastAsia" w:ascii="宋体" w:hAnsi="宋体" w:eastAsia="宋体" w:cs="宋体"/>
          <w:color w:val="auto"/>
          <w:kern w:val="28"/>
          <w:sz w:val="22"/>
          <w:szCs w:val="22"/>
        </w:rPr>
        <w:t>、部署和实施，对未能按要求完成的，甲方有权终止合同并追回已支付等合同款项。</w:t>
      </w:r>
    </w:p>
    <w:p w14:paraId="358F6165">
      <w:pPr>
        <w:pageBreakBefore w:val="0"/>
        <w:widowControl w:val="0"/>
        <w:kinsoku/>
        <w:wordWrap/>
        <w:overflowPunct/>
        <w:topLinePunct w:val="0"/>
        <w:bidi w:val="0"/>
        <w:spacing w:line="336" w:lineRule="auto"/>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3、结算方式</w:t>
      </w:r>
    </w:p>
    <w:p w14:paraId="733F84A3">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3.1 按照甲方最终验收确认的实际内容及质量进行结算。</w:t>
      </w:r>
    </w:p>
    <w:p w14:paraId="5FB86EAA">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3.2 凡因乙方投标漏项、误报等导致的费用差异均由乙方自行承担，且必须按合同约定继续履行此部分合同内容，结算时不予调整。</w:t>
      </w:r>
    </w:p>
    <w:p w14:paraId="2A95E8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38" w:name="_Toc8636"/>
      <w:bookmarkStart w:id="39" w:name="_Toc25655"/>
      <w:bookmarkStart w:id="40" w:name="_Toc505343768"/>
      <w:bookmarkStart w:id="41" w:name="_Toc17476"/>
      <w:bookmarkStart w:id="42" w:name="_Toc505343700"/>
      <w:bookmarkStart w:id="43" w:name="_Toc505152656"/>
      <w:bookmarkStart w:id="44" w:name="_Toc495995194"/>
      <w:bookmarkStart w:id="45" w:name="_Toc495595346"/>
      <w:bookmarkStart w:id="46" w:name="_Toc7420"/>
      <w:bookmarkStart w:id="47" w:name="_Toc21936"/>
      <w:bookmarkStart w:id="48" w:name="_Toc1161"/>
      <w:r>
        <w:rPr>
          <w:rFonts w:hint="eastAsia" w:ascii="宋体" w:hAnsi="宋体" w:eastAsia="宋体" w:cs="宋体"/>
          <w:b/>
          <w:color w:val="auto"/>
          <w:sz w:val="22"/>
          <w:szCs w:val="22"/>
        </w:rPr>
        <w:t>五、权利与义务</w:t>
      </w:r>
      <w:bookmarkEnd w:id="38"/>
      <w:bookmarkEnd w:id="39"/>
      <w:bookmarkEnd w:id="40"/>
      <w:bookmarkEnd w:id="41"/>
      <w:bookmarkEnd w:id="42"/>
      <w:bookmarkEnd w:id="43"/>
      <w:bookmarkEnd w:id="44"/>
      <w:bookmarkEnd w:id="45"/>
      <w:bookmarkEnd w:id="46"/>
      <w:bookmarkEnd w:id="47"/>
      <w:bookmarkEnd w:id="48"/>
    </w:p>
    <w:p w14:paraId="079569ED">
      <w:pPr>
        <w:pageBreakBefore w:val="0"/>
        <w:widowControl w:val="0"/>
        <w:kinsoku/>
        <w:wordWrap/>
        <w:overflowPunct/>
        <w:topLinePunct w:val="0"/>
        <w:bidi w:val="0"/>
        <w:spacing w:line="336" w:lineRule="auto"/>
        <w:textAlignment w:val="auto"/>
        <w:rPr>
          <w:rFonts w:hint="eastAsia" w:ascii="宋体" w:hAnsi="宋体" w:eastAsia="宋体" w:cs="宋体"/>
          <w:b/>
          <w:bCs/>
          <w:color w:val="auto"/>
          <w:kern w:val="28"/>
          <w:sz w:val="22"/>
          <w:szCs w:val="22"/>
        </w:rPr>
      </w:pPr>
      <w:bookmarkStart w:id="49" w:name="_Toc26642"/>
      <w:bookmarkStart w:id="50" w:name="_Toc495595347"/>
      <w:bookmarkStart w:id="51" w:name="_Toc505343701"/>
      <w:bookmarkStart w:id="52" w:name="_Toc4735"/>
      <w:bookmarkStart w:id="53" w:name="_Toc495995195"/>
      <w:bookmarkStart w:id="54" w:name="_Toc22791"/>
      <w:bookmarkStart w:id="55" w:name="_Toc24596"/>
      <w:bookmarkStart w:id="56" w:name="_Toc505343769"/>
      <w:bookmarkStart w:id="57" w:name="_Toc24921"/>
      <w:bookmarkStart w:id="58" w:name="_Toc30808"/>
      <w:bookmarkStart w:id="59" w:name="_Toc505152657"/>
      <w:r>
        <w:rPr>
          <w:rFonts w:hint="eastAsia" w:ascii="宋体" w:hAnsi="宋体" w:eastAsia="宋体" w:cs="宋体"/>
          <w:b/>
          <w:bCs/>
          <w:color w:val="auto"/>
          <w:kern w:val="28"/>
          <w:sz w:val="22"/>
          <w:szCs w:val="22"/>
        </w:rPr>
        <w:t>（一）甲方的权利与义务</w:t>
      </w:r>
      <w:bookmarkEnd w:id="49"/>
      <w:bookmarkEnd w:id="50"/>
      <w:bookmarkEnd w:id="51"/>
      <w:bookmarkEnd w:id="52"/>
      <w:bookmarkEnd w:id="53"/>
      <w:bookmarkEnd w:id="54"/>
      <w:bookmarkEnd w:id="55"/>
      <w:bookmarkEnd w:id="56"/>
      <w:bookmarkEnd w:id="57"/>
      <w:bookmarkEnd w:id="58"/>
      <w:bookmarkEnd w:id="59"/>
    </w:p>
    <w:p w14:paraId="7B61B654">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1、甲方有权要求乙方提供货物和服务的项目内容符合国家相关规范，符合国家验收标准，能够通过国家验收。</w:t>
      </w:r>
    </w:p>
    <w:p w14:paraId="4BA4D658">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2、甲方有权要求乙方配合甲方完成所采购项目内容的预验收工作以及正式验收工作。</w:t>
      </w:r>
    </w:p>
    <w:p w14:paraId="5098344C">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3、甲方有权要求乙方提供的产品所涉及的第三方权利进行免责。</w:t>
      </w:r>
    </w:p>
    <w:p w14:paraId="287649A9">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4、甲方有义务保证按合同所规定的内容及时间支付乙方相关费用。</w:t>
      </w:r>
    </w:p>
    <w:p w14:paraId="1C1485B4">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5、甲方项目负责人为</w:t>
      </w:r>
      <w:r>
        <w:rPr>
          <w:rFonts w:hint="eastAsia" w:ascii="宋体" w:hAnsi="宋体" w:eastAsia="宋体" w:cs="宋体"/>
          <w:color w:val="auto"/>
          <w:kern w:val="28"/>
          <w:sz w:val="22"/>
          <w:szCs w:val="22"/>
          <w:u w:val="single"/>
        </w:rPr>
        <w:t xml:space="preserve">          </w:t>
      </w:r>
      <w:r>
        <w:rPr>
          <w:rFonts w:hint="eastAsia" w:ascii="宋体" w:hAnsi="宋体" w:eastAsia="宋体" w:cs="宋体"/>
          <w:color w:val="auto"/>
          <w:kern w:val="28"/>
          <w:sz w:val="22"/>
          <w:szCs w:val="22"/>
        </w:rPr>
        <w:t>。</w:t>
      </w:r>
    </w:p>
    <w:p w14:paraId="121C532D">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6、协调乙方服务时与其他工作单位的关系。</w:t>
      </w:r>
    </w:p>
    <w:p w14:paraId="163E25A0">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7、乙方不能按甲方要求服务，甲方有单方解除合同的权利。解除合同的同时，甲方有权利与评标报告中推荐排名第二的供应商签订新的合同。</w:t>
      </w:r>
    </w:p>
    <w:p w14:paraId="335B6619">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8、因乙方原因项目延误，给甲方造成损失或被第三方要求索赔的，乙方应全额承担。</w:t>
      </w:r>
    </w:p>
    <w:p w14:paraId="5E77B519">
      <w:pPr>
        <w:pageBreakBefore w:val="0"/>
        <w:widowControl w:val="0"/>
        <w:kinsoku/>
        <w:wordWrap/>
        <w:overflowPunct/>
        <w:topLinePunct w:val="0"/>
        <w:bidi w:val="0"/>
        <w:spacing w:line="336" w:lineRule="auto"/>
        <w:textAlignment w:val="auto"/>
        <w:rPr>
          <w:rFonts w:hint="eastAsia" w:ascii="宋体" w:hAnsi="宋体" w:eastAsia="宋体" w:cs="宋体"/>
          <w:b/>
          <w:bCs/>
          <w:color w:val="auto"/>
          <w:kern w:val="28"/>
          <w:sz w:val="22"/>
          <w:szCs w:val="22"/>
        </w:rPr>
      </w:pPr>
      <w:bookmarkStart w:id="60" w:name="_Toc495995196"/>
      <w:bookmarkStart w:id="61" w:name="_Toc505343770"/>
      <w:bookmarkStart w:id="62" w:name="_Toc21784"/>
      <w:bookmarkStart w:id="63" w:name="_Toc505152658"/>
      <w:bookmarkStart w:id="64" w:name="_Toc4449"/>
      <w:bookmarkStart w:id="65" w:name="_Toc13664"/>
      <w:bookmarkStart w:id="66" w:name="_Toc3975"/>
      <w:bookmarkStart w:id="67" w:name="_Toc495595348"/>
      <w:bookmarkStart w:id="68" w:name="_Toc10778"/>
      <w:bookmarkStart w:id="69" w:name="_Toc505343702"/>
      <w:bookmarkStart w:id="70" w:name="_Toc31138"/>
      <w:r>
        <w:rPr>
          <w:rFonts w:hint="eastAsia" w:ascii="宋体" w:hAnsi="宋体" w:eastAsia="宋体" w:cs="宋体"/>
          <w:b/>
          <w:bCs/>
          <w:color w:val="auto"/>
          <w:kern w:val="28"/>
          <w:sz w:val="22"/>
          <w:szCs w:val="22"/>
        </w:rPr>
        <w:t>（二）乙方的权利与义务</w:t>
      </w:r>
      <w:bookmarkEnd w:id="60"/>
      <w:bookmarkEnd w:id="61"/>
      <w:bookmarkEnd w:id="62"/>
      <w:bookmarkEnd w:id="63"/>
      <w:bookmarkEnd w:id="64"/>
      <w:bookmarkEnd w:id="65"/>
      <w:bookmarkEnd w:id="66"/>
      <w:bookmarkEnd w:id="67"/>
      <w:bookmarkEnd w:id="68"/>
      <w:bookmarkEnd w:id="69"/>
      <w:bookmarkEnd w:id="70"/>
    </w:p>
    <w:p w14:paraId="7EDF489E">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1、乙方应按本合同的规定提供货物和服务，并保证货物和服务质量。</w:t>
      </w:r>
    </w:p>
    <w:p w14:paraId="5ABDF246">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2、乙方有义务配合甲方参与项目的预验收、正式竣工验收工作，并确保提供的货物和服务符合本项目国家现行标准。</w:t>
      </w:r>
    </w:p>
    <w:p w14:paraId="09D3BF92">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3、乙方项目负责人为</w:t>
      </w:r>
      <w:r>
        <w:rPr>
          <w:rFonts w:hint="eastAsia" w:ascii="宋体" w:hAnsi="宋体" w:eastAsia="宋体" w:cs="宋体"/>
          <w:color w:val="auto"/>
          <w:kern w:val="28"/>
          <w:sz w:val="22"/>
          <w:szCs w:val="22"/>
          <w:u w:val="single"/>
        </w:rPr>
        <w:t xml:space="preserve">         </w:t>
      </w:r>
      <w:r>
        <w:rPr>
          <w:rFonts w:hint="eastAsia" w:ascii="宋体" w:hAnsi="宋体" w:eastAsia="宋体" w:cs="宋体"/>
          <w:color w:val="auto"/>
          <w:kern w:val="28"/>
          <w:sz w:val="22"/>
          <w:szCs w:val="22"/>
        </w:rPr>
        <w:t xml:space="preserve"> 。</w:t>
      </w:r>
    </w:p>
    <w:p w14:paraId="1B47C31C">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4、乙方产品进场时应充分了解甲方的现场各项管理标准文件，并在进场后全面服从甲方的管理制度、管理细则等。</w:t>
      </w:r>
    </w:p>
    <w:p w14:paraId="00E6C949">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5、遵守项目建设期间的有关规定，做好现场安全管理；协助甲方做好现场的安全保卫、防火防盗工作，确保项目顺利进行；接受甲方现场管理人员的监督和检查，保证货物和服务质量及安全施工。</w:t>
      </w:r>
    </w:p>
    <w:p w14:paraId="40658A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71" w:name="_Toc505343771"/>
      <w:bookmarkStart w:id="72" w:name="_Toc6312"/>
      <w:bookmarkStart w:id="73" w:name="_Toc13255"/>
      <w:bookmarkStart w:id="74" w:name="_Toc11205"/>
      <w:bookmarkStart w:id="75" w:name="_Toc9464"/>
      <w:bookmarkStart w:id="76" w:name="_Toc505343703"/>
      <w:bookmarkStart w:id="77" w:name="_Toc495995197"/>
      <w:bookmarkStart w:id="78" w:name="_Toc17888"/>
      <w:bookmarkStart w:id="79" w:name="_Toc27580"/>
      <w:bookmarkStart w:id="80" w:name="_Toc495595349"/>
      <w:bookmarkStart w:id="81" w:name="_Toc505152659"/>
      <w:r>
        <w:rPr>
          <w:rFonts w:hint="eastAsia" w:ascii="宋体" w:hAnsi="宋体" w:eastAsia="宋体" w:cs="宋体"/>
          <w:b/>
          <w:color w:val="auto"/>
          <w:sz w:val="22"/>
          <w:szCs w:val="22"/>
        </w:rPr>
        <w:t>六、质量要求、技术标准</w:t>
      </w:r>
      <w:bookmarkEnd w:id="71"/>
      <w:bookmarkEnd w:id="72"/>
      <w:bookmarkEnd w:id="73"/>
      <w:bookmarkEnd w:id="74"/>
      <w:bookmarkEnd w:id="75"/>
      <w:bookmarkEnd w:id="76"/>
      <w:bookmarkEnd w:id="77"/>
      <w:bookmarkEnd w:id="78"/>
      <w:bookmarkEnd w:id="79"/>
      <w:bookmarkEnd w:id="80"/>
      <w:bookmarkEnd w:id="81"/>
    </w:p>
    <w:p w14:paraId="4249C1D0">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1、货物和服务质量必须达到国家标准和相关规范的要求。</w:t>
      </w:r>
    </w:p>
    <w:p w14:paraId="593039CC">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2、</w:t>
      </w:r>
      <w:r>
        <w:rPr>
          <w:rFonts w:hint="eastAsia" w:ascii="宋体" w:hAnsi="宋体" w:eastAsia="宋体" w:cs="宋体"/>
          <w:color w:val="auto"/>
          <w:kern w:val="28"/>
          <w:sz w:val="22"/>
          <w:szCs w:val="22"/>
          <w:lang w:eastAsia="zh-CN"/>
        </w:rPr>
        <w:t>交货期</w:t>
      </w:r>
      <w:r>
        <w:rPr>
          <w:rFonts w:hint="eastAsia" w:ascii="宋体" w:hAnsi="宋体" w:eastAsia="宋体" w:cs="宋体"/>
          <w:color w:val="auto"/>
          <w:kern w:val="28"/>
          <w:sz w:val="22"/>
          <w:szCs w:val="22"/>
        </w:rPr>
        <w:t>内出现的服务质量问题由中标人负责解决并承担所有费用。</w:t>
      </w:r>
    </w:p>
    <w:p w14:paraId="53AE0FC3">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3、详见产品执行的技术标准。</w:t>
      </w:r>
    </w:p>
    <w:p w14:paraId="08180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82" w:name="_Toc26257"/>
      <w:bookmarkStart w:id="83" w:name="_Toc24354"/>
      <w:bookmarkStart w:id="84" w:name="_Toc24323"/>
      <w:bookmarkStart w:id="85" w:name="_Toc505343772"/>
      <w:bookmarkStart w:id="86" w:name="_Toc495995198"/>
      <w:bookmarkStart w:id="87" w:name="_Toc9778"/>
      <w:bookmarkStart w:id="88" w:name="_Toc29123"/>
      <w:bookmarkStart w:id="89" w:name="_Toc505343704"/>
      <w:bookmarkStart w:id="90" w:name="_Toc9074"/>
      <w:bookmarkStart w:id="91" w:name="_Toc505152660"/>
      <w:bookmarkStart w:id="92" w:name="_Toc495595350"/>
      <w:r>
        <w:rPr>
          <w:rFonts w:hint="eastAsia" w:ascii="宋体" w:hAnsi="宋体" w:eastAsia="宋体" w:cs="宋体"/>
          <w:b/>
          <w:color w:val="auto"/>
          <w:sz w:val="22"/>
          <w:szCs w:val="22"/>
        </w:rPr>
        <w:t>七、服务要求</w:t>
      </w:r>
      <w:bookmarkEnd w:id="82"/>
      <w:bookmarkEnd w:id="83"/>
      <w:bookmarkEnd w:id="84"/>
      <w:bookmarkEnd w:id="85"/>
      <w:bookmarkEnd w:id="86"/>
      <w:bookmarkEnd w:id="87"/>
      <w:bookmarkEnd w:id="88"/>
      <w:bookmarkEnd w:id="89"/>
      <w:bookmarkEnd w:id="90"/>
      <w:bookmarkEnd w:id="91"/>
      <w:bookmarkEnd w:id="92"/>
    </w:p>
    <w:p w14:paraId="13F702A2">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乙方应保证所提供的货物和服务质量能应完全满足合同约定要求。</w:t>
      </w:r>
    </w:p>
    <w:p w14:paraId="0A2E9F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93" w:name="_Toc505343773"/>
      <w:bookmarkStart w:id="94" w:name="_Toc29778"/>
      <w:bookmarkStart w:id="95" w:name="_Toc26987"/>
      <w:bookmarkStart w:id="96" w:name="_Toc3937"/>
      <w:bookmarkStart w:id="97" w:name="_Toc6747"/>
      <w:bookmarkStart w:id="98" w:name="_Toc26459"/>
      <w:bookmarkStart w:id="99" w:name="_Toc495595351"/>
      <w:bookmarkStart w:id="100" w:name="_Toc28386"/>
      <w:bookmarkStart w:id="101" w:name="_Toc505343705"/>
      <w:bookmarkStart w:id="102" w:name="_Toc505152661"/>
      <w:bookmarkStart w:id="103" w:name="_Toc495995199"/>
      <w:r>
        <w:rPr>
          <w:rFonts w:hint="eastAsia" w:ascii="宋体" w:hAnsi="宋体" w:eastAsia="宋体" w:cs="宋体"/>
          <w:b/>
          <w:color w:val="auto"/>
          <w:sz w:val="22"/>
          <w:szCs w:val="22"/>
        </w:rPr>
        <w:t>八、项目实施地点</w:t>
      </w:r>
      <w:bookmarkEnd w:id="93"/>
      <w:bookmarkEnd w:id="94"/>
      <w:bookmarkEnd w:id="95"/>
      <w:bookmarkEnd w:id="96"/>
      <w:bookmarkEnd w:id="97"/>
      <w:bookmarkEnd w:id="98"/>
      <w:bookmarkEnd w:id="99"/>
      <w:bookmarkEnd w:id="100"/>
      <w:bookmarkEnd w:id="101"/>
      <w:bookmarkEnd w:id="102"/>
      <w:bookmarkEnd w:id="103"/>
    </w:p>
    <w:p w14:paraId="4B4145E6">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具体项目实施地点由甲方指定（乙方负责路费，人力费、运杂费及保险费已包括在合同总价内）。</w:t>
      </w:r>
    </w:p>
    <w:p w14:paraId="2647C1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04" w:name="_Toc505343774"/>
      <w:bookmarkStart w:id="105" w:name="_Toc29870"/>
      <w:bookmarkStart w:id="106" w:name="_Toc4839"/>
      <w:bookmarkStart w:id="107" w:name="_Toc6203"/>
      <w:bookmarkStart w:id="108" w:name="_Toc2832"/>
      <w:bookmarkStart w:id="109" w:name="_Toc505152662"/>
      <w:bookmarkStart w:id="110" w:name="_Toc495995200"/>
      <w:bookmarkStart w:id="111" w:name="_Toc14308"/>
      <w:bookmarkStart w:id="112" w:name="_Toc505343706"/>
      <w:bookmarkStart w:id="113" w:name="_Toc17794"/>
      <w:bookmarkStart w:id="114" w:name="_Toc495595352"/>
      <w:r>
        <w:rPr>
          <w:rFonts w:hint="eastAsia" w:ascii="宋体" w:hAnsi="宋体" w:eastAsia="宋体" w:cs="宋体"/>
          <w:b/>
          <w:color w:val="auto"/>
          <w:sz w:val="22"/>
          <w:szCs w:val="22"/>
        </w:rPr>
        <w:t>九、服务验收</w:t>
      </w:r>
      <w:bookmarkEnd w:id="104"/>
      <w:bookmarkEnd w:id="105"/>
      <w:bookmarkEnd w:id="106"/>
      <w:bookmarkEnd w:id="107"/>
      <w:bookmarkEnd w:id="108"/>
      <w:bookmarkEnd w:id="109"/>
      <w:bookmarkEnd w:id="110"/>
      <w:bookmarkEnd w:id="111"/>
      <w:bookmarkEnd w:id="112"/>
      <w:bookmarkEnd w:id="113"/>
      <w:bookmarkEnd w:id="114"/>
      <w:bookmarkStart w:id="115" w:name="_Toc11874"/>
      <w:bookmarkStart w:id="116" w:name="_Toc495995201"/>
      <w:bookmarkStart w:id="117" w:name="_Toc505152663"/>
      <w:bookmarkStart w:id="118" w:name="_Toc505343775"/>
      <w:bookmarkStart w:id="119" w:name="_Toc495595353"/>
      <w:bookmarkStart w:id="120" w:name="_Toc505343707"/>
      <w:bookmarkStart w:id="121" w:name="_Toc19125"/>
      <w:bookmarkStart w:id="122" w:name="_Toc17796"/>
    </w:p>
    <w:p w14:paraId="0C88D4F6">
      <w:pPr>
        <w:pageBreakBefore w:val="0"/>
        <w:widowControl w:val="0"/>
        <w:kinsoku/>
        <w:wordWrap/>
        <w:overflowPunct/>
        <w:topLinePunct w:val="0"/>
        <w:bidi w:val="0"/>
        <w:adjustRightInd w:val="0"/>
        <w:snapToGrid w:val="0"/>
        <w:spacing w:line="336" w:lineRule="auto"/>
        <w:ind w:firstLine="440" w:firstLineChars="200"/>
        <w:textAlignment w:val="auto"/>
        <w:rPr>
          <w:rFonts w:hint="eastAsia" w:ascii="宋体" w:hAnsi="宋体" w:eastAsia="宋体" w:cs="宋体"/>
          <w:color w:val="auto"/>
          <w:sz w:val="22"/>
          <w:szCs w:val="22"/>
        </w:rPr>
      </w:pPr>
      <w:bookmarkStart w:id="123" w:name="_Toc31479"/>
      <w:bookmarkStart w:id="124" w:name="_Toc23199"/>
      <w:r>
        <w:rPr>
          <w:rFonts w:hint="eastAsia" w:ascii="宋体" w:hAnsi="宋体" w:eastAsia="宋体" w:cs="宋体"/>
          <w:color w:val="auto"/>
          <w:sz w:val="22"/>
          <w:szCs w:val="22"/>
        </w:rPr>
        <w:t>1、本项目验收地点位于</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rPr>
        <w:t>。</w:t>
      </w:r>
    </w:p>
    <w:p w14:paraId="194ECD68">
      <w:pPr>
        <w:pageBreakBefore w:val="0"/>
        <w:widowControl w:val="0"/>
        <w:kinsoku/>
        <w:wordWrap/>
        <w:overflowPunct/>
        <w:topLinePunct w:val="0"/>
        <w:bidi w:val="0"/>
        <w:adjustRightInd w:val="0"/>
        <w:snapToGrid w:val="0"/>
        <w:spacing w:line="336"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2、验收标准：</w:t>
      </w:r>
      <w:r>
        <w:rPr>
          <w:rFonts w:hint="eastAsia" w:ascii="宋体" w:hAnsi="宋体" w:eastAsia="宋体" w:cs="宋体"/>
          <w:b/>
          <w:bCs/>
          <w:color w:val="auto"/>
          <w:sz w:val="22"/>
          <w:szCs w:val="22"/>
          <w:highlight w:val="none"/>
        </w:rPr>
        <w:t>达到国家标准，符合客户需求。</w:t>
      </w:r>
      <w:r>
        <w:rPr>
          <w:rFonts w:hint="eastAsia" w:ascii="宋体" w:hAnsi="宋体" w:eastAsia="宋体" w:cs="宋体"/>
          <w:color w:val="auto"/>
          <w:sz w:val="22"/>
          <w:szCs w:val="22"/>
          <w:highlight w:val="none"/>
        </w:rPr>
        <w:t xml:space="preserve"> </w:t>
      </w:r>
    </w:p>
    <w:p w14:paraId="5B4673A2">
      <w:pPr>
        <w:pageBreakBefore w:val="0"/>
        <w:widowControl w:val="0"/>
        <w:kinsoku/>
        <w:wordWrap/>
        <w:overflowPunct/>
        <w:topLinePunct w:val="0"/>
        <w:bidi w:val="0"/>
        <w:adjustRightInd w:val="0"/>
        <w:snapToGrid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、就供应商交付标的物进行审查或测试，通过后视为验收合格。</w:t>
      </w:r>
    </w:p>
    <w:p w14:paraId="77041E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25" w:name="_Toc2711"/>
      <w:r>
        <w:rPr>
          <w:rFonts w:hint="eastAsia" w:ascii="宋体" w:hAnsi="宋体" w:eastAsia="宋体" w:cs="宋体"/>
          <w:b/>
          <w:color w:val="auto"/>
          <w:sz w:val="22"/>
          <w:szCs w:val="22"/>
        </w:rPr>
        <w:t>十、保密条款</w:t>
      </w:r>
      <w:bookmarkEnd w:id="115"/>
      <w:bookmarkEnd w:id="116"/>
      <w:bookmarkEnd w:id="117"/>
      <w:bookmarkEnd w:id="118"/>
      <w:bookmarkEnd w:id="119"/>
      <w:bookmarkEnd w:id="120"/>
      <w:bookmarkEnd w:id="121"/>
      <w:bookmarkEnd w:id="122"/>
      <w:bookmarkEnd w:id="123"/>
      <w:bookmarkEnd w:id="124"/>
      <w:bookmarkEnd w:id="125"/>
    </w:p>
    <w:p w14:paraId="64B1C007">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双方承诺，除非法律另有规定或双方一致同意，任何一方不得将本协议的内容向第三方透露，否则，应向对方承担相应的违约责任。</w:t>
      </w:r>
    </w:p>
    <w:p w14:paraId="220E6617">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305ABA71">
      <w:pPr>
        <w:pageBreakBefore w:val="0"/>
        <w:widowControl w:val="0"/>
        <w:kinsoku/>
        <w:wordWrap/>
        <w:overflowPunct/>
        <w:topLinePunct w:val="0"/>
        <w:bidi w:val="0"/>
        <w:spacing w:line="336" w:lineRule="auto"/>
        <w:ind w:firstLine="220" w:firstLineChars="100"/>
        <w:textAlignment w:val="auto"/>
        <w:rPr>
          <w:rFonts w:hint="eastAsia" w:ascii="宋体" w:hAnsi="宋体" w:eastAsia="宋体" w:cs="宋体"/>
          <w:color w:val="auto"/>
          <w:kern w:val="28"/>
          <w:sz w:val="22"/>
          <w:szCs w:val="22"/>
        </w:rPr>
      </w:pPr>
      <w:r>
        <w:rPr>
          <w:rFonts w:hint="eastAsia" w:ascii="宋体" w:hAnsi="宋体" w:eastAsia="宋体" w:cs="宋体"/>
          <w:color w:val="auto"/>
          <w:kern w:val="28"/>
          <w:sz w:val="22"/>
          <w:szCs w:val="22"/>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C87CD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26" w:name="_Toc26050"/>
      <w:bookmarkStart w:id="127" w:name="_Toc495995202"/>
      <w:bookmarkStart w:id="128" w:name="_Toc495595354"/>
      <w:bookmarkStart w:id="129" w:name="_Toc505152664"/>
      <w:bookmarkStart w:id="130" w:name="_Toc420"/>
      <w:bookmarkStart w:id="131" w:name="_Toc14667"/>
      <w:bookmarkStart w:id="132" w:name="_Toc6232"/>
      <w:bookmarkStart w:id="133" w:name="_Toc15808"/>
      <w:bookmarkStart w:id="134" w:name="_Toc505343776"/>
      <w:bookmarkStart w:id="135" w:name="_Toc29711"/>
      <w:bookmarkStart w:id="136" w:name="_Toc505343708"/>
      <w:r>
        <w:rPr>
          <w:rFonts w:hint="eastAsia" w:ascii="宋体" w:hAnsi="宋体" w:eastAsia="宋体" w:cs="宋体"/>
          <w:b/>
          <w:color w:val="auto"/>
          <w:sz w:val="22"/>
          <w:szCs w:val="22"/>
        </w:rPr>
        <w:t>十一、违约责任</w:t>
      </w:r>
      <w:bookmarkEnd w:id="126"/>
      <w:bookmarkEnd w:id="127"/>
      <w:bookmarkEnd w:id="128"/>
      <w:bookmarkEnd w:id="129"/>
      <w:bookmarkEnd w:id="130"/>
      <w:bookmarkEnd w:id="131"/>
      <w:bookmarkEnd w:id="132"/>
      <w:bookmarkEnd w:id="133"/>
      <w:bookmarkEnd w:id="134"/>
      <w:bookmarkEnd w:id="135"/>
      <w:bookmarkEnd w:id="136"/>
    </w:p>
    <w:p w14:paraId="75E5F741">
      <w:pPr>
        <w:pageBreakBefore w:val="0"/>
        <w:widowControl w:val="0"/>
        <w:kinsoku/>
        <w:wordWrap/>
        <w:overflowPunct/>
        <w:topLinePunct w:val="0"/>
        <w:autoSpaceDE w:val="0"/>
        <w:autoSpaceDN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乙方逾期服务，每延迟1日，应按合同总价款的1‰向甲方支付违约金，因不可抗力或经甲方同意除外，但违约金总额不超过合同总价的10％。如合同总价5％以上的服务没有达到要求并且在10日内未及时作出反应的，甲方有权解除本合同。</w:t>
      </w:r>
    </w:p>
    <w:p w14:paraId="256F9518">
      <w:pPr>
        <w:pageBreakBefore w:val="0"/>
        <w:widowControl w:val="0"/>
        <w:kinsoku/>
        <w:wordWrap/>
        <w:overflowPunct/>
        <w:topLinePunct w:val="0"/>
        <w:autoSpaceDE w:val="0"/>
        <w:autoSpaceDN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2</w:t>
      </w:r>
      <w:r>
        <w:rPr>
          <w:rFonts w:hint="eastAsia" w:ascii="宋体" w:hAnsi="宋体" w:eastAsia="宋体" w:cs="宋体"/>
          <w:b/>
          <w:bCs/>
          <w:color w:val="auto"/>
          <w:sz w:val="22"/>
          <w:szCs w:val="22"/>
        </w:rPr>
        <w:t>、</w:t>
      </w:r>
      <w:r>
        <w:rPr>
          <w:rFonts w:hint="eastAsia" w:ascii="宋体" w:hAnsi="宋体" w:eastAsia="宋体" w:cs="宋体"/>
          <w:color w:val="auto"/>
          <w:sz w:val="22"/>
          <w:szCs w:val="22"/>
        </w:rPr>
        <w:t>如乙方货物和服务质量不符合国家标准或未达到本企业内控标准，甲方有权解除合同，并且乙方应承担甲方合同总价款的10％的违约金并赔偿其他损失。</w:t>
      </w:r>
    </w:p>
    <w:p w14:paraId="071DBD9F">
      <w:pPr>
        <w:pageBreakBefore w:val="0"/>
        <w:widowControl w:val="0"/>
        <w:kinsoku/>
        <w:wordWrap/>
        <w:overflowPunct/>
        <w:topLinePunct w:val="0"/>
        <w:autoSpaceDE w:val="0"/>
        <w:autoSpaceDN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、在合同规定的建设期内乙方未提供货物及服务，除应提供合同规定的货物和服务，还应承担合同总款的10％违约金。</w:t>
      </w:r>
    </w:p>
    <w:p w14:paraId="1C90949B">
      <w:pPr>
        <w:pageBreakBefore w:val="0"/>
        <w:widowControl w:val="0"/>
        <w:kinsoku/>
        <w:wordWrap/>
        <w:overflowPunct/>
        <w:topLinePunct w:val="0"/>
        <w:autoSpaceDE w:val="0"/>
        <w:autoSpaceDN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4</w:t>
      </w:r>
      <w:r>
        <w:rPr>
          <w:rFonts w:hint="eastAsia" w:ascii="宋体" w:hAnsi="宋体" w:eastAsia="宋体" w:cs="宋体"/>
          <w:color w:val="auto"/>
          <w:sz w:val="22"/>
          <w:szCs w:val="22"/>
        </w:rPr>
        <w:t>、质量保证期内因货物和服务质量问题，乙方未按合同规定及时进行维修、更换，甲方可自行组织人员进行更换，因此造成的相关责任、费用由乙方承担。</w:t>
      </w:r>
    </w:p>
    <w:p w14:paraId="13ED8A38">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5</w:t>
      </w:r>
      <w:r>
        <w:rPr>
          <w:rFonts w:hint="eastAsia" w:ascii="宋体" w:hAnsi="宋体" w:eastAsia="宋体" w:cs="宋体"/>
          <w:color w:val="auto"/>
          <w:sz w:val="22"/>
          <w:szCs w:val="22"/>
        </w:rPr>
        <w:t>、乙方对材料不按</w:t>
      </w:r>
      <w:r>
        <w:rPr>
          <w:rFonts w:hint="eastAsia" w:ascii="宋体" w:hAnsi="宋体" w:eastAsia="宋体" w:cs="宋体"/>
          <w:color w:val="auto"/>
          <w:sz w:val="22"/>
          <w:szCs w:val="22"/>
          <w:lang w:eastAsia="zh-CN"/>
        </w:rPr>
        <w:t>招标</w:t>
      </w:r>
      <w:r>
        <w:rPr>
          <w:rFonts w:hint="eastAsia" w:ascii="宋体" w:hAnsi="宋体" w:eastAsia="宋体" w:cs="宋体"/>
          <w:color w:val="auto"/>
          <w:sz w:val="22"/>
          <w:szCs w:val="22"/>
        </w:rPr>
        <w:t>文件要求，擅自更换，除恢复原招标产品外，应承担更换部分价款10%的违约金。</w:t>
      </w:r>
    </w:p>
    <w:p w14:paraId="44017653">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6</w:t>
      </w:r>
      <w:r>
        <w:rPr>
          <w:rFonts w:hint="eastAsia" w:ascii="宋体" w:hAnsi="宋体" w:eastAsia="宋体" w:cs="宋体"/>
          <w:color w:val="auto"/>
          <w:sz w:val="22"/>
          <w:szCs w:val="22"/>
        </w:rPr>
        <w:t>、乙方如对</w:t>
      </w:r>
      <w:r>
        <w:rPr>
          <w:rFonts w:hint="eastAsia" w:ascii="宋体" w:hAnsi="宋体" w:eastAsia="宋体" w:cs="宋体"/>
          <w:color w:val="auto"/>
          <w:sz w:val="22"/>
          <w:szCs w:val="22"/>
          <w:lang w:eastAsia="zh-CN"/>
        </w:rPr>
        <w:t>货物</w:t>
      </w:r>
      <w:r>
        <w:rPr>
          <w:rFonts w:hint="eastAsia" w:ascii="宋体" w:hAnsi="宋体" w:eastAsia="宋体" w:cs="宋体"/>
          <w:color w:val="auto"/>
          <w:sz w:val="22"/>
          <w:szCs w:val="22"/>
        </w:rPr>
        <w:t>以次充好，除全部按要求恢复外，应承担此部分价款10%的违约金。</w:t>
      </w:r>
    </w:p>
    <w:p w14:paraId="115CD4DB">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7</w:t>
      </w:r>
      <w:r>
        <w:rPr>
          <w:rFonts w:hint="eastAsia" w:ascii="宋体" w:hAnsi="宋体" w:eastAsia="宋体" w:cs="宋体"/>
          <w:color w:val="auto"/>
          <w:sz w:val="22"/>
          <w:szCs w:val="22"/>
        </w:rPr>
        <w:t>、如由于货物和服务质量原因，不能通过验收，乙方除按规定无偿更换外，应承担所涉及产品总价款的10％违约金。</w:t>
      </w:r>
    </w:p>
    <w:p w14:paraId="5BCDCA9A">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8</w:t>
      </w:r>
      <w:r>
        <w:rPr>
          <w:rFonts w:hint="eastAsia" w:ascii="宋体" w:hAnsi="宋体" w:eastAsia="宋体" w:cs="宋体"/>
          <w:color w:val="auto"/>
          <w:sz w:val="22"/>
          <w:szCs w:val="22"/>
        </w:rPr>
        <w:t>、乙方负责现场服务人员及其他人员安全。如因乙方原因造成人员伤亡或财产损失，由乙方负责并承担一切赔偿责任。甲方有权追究乙方的违约责任。</w:t>
      </w:r>
    </w:p>
    <w:p w14:paraId="009538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37" w:name="_Toc495995203"/>
      <w:bookmarkStart w:id="138" w:name="_Toc22694"/>
      <w:bookmarkStart w:id="139" w:name="_Toc30982"/>
      <w:bookmarkStart w:id="140" w:name="_Toc495595355"/>
      <w:bookmarkStart w:id="141" w:name="_Toc505152665"/>
      <w:bookmarkStart w:id="142" w:name="_Toc505343777"/>
      <w:bookmarkStart w:id="143" w:name="_Toc9592"/>
      <w:bookmarkStart w:id="144" w:name="_Toc4452"/>
      <w:bookmarkStart w:id="145" w:name="_Toc22358"/>
      <w:bookmarkStart w:id="146" w:name="_Toc505343709"/>
      <w:bookmarkStart w:id="147" w:name="_Toc12560"/>
      <w:r>
        <w:rPr>
          <w:rFonts w:hint="eastAsia" w:ascii="宋体" w:hAnsi="宋体" w:eastAsia="宋体" w:cs="宋体"/>
          <w:b/>
          <w:color w:val="auto"/>
          <w:sz w:val="22"/>
          <w:szCs w:val="22"/>
        </w:rPr>
        <w:t>十二、争议解决</w:t>
      </w:r>
      <w:bookmarkEnd w:id="137"/>
      <w:bookmarkEnd w:id="138"/>
      <w:bookmarkEnd w:id="139"/>
      <w:bookmarkEnd w:id="140"/>
      <w:bookmarkEnd w:id="141"/>
      <w:bookmarkEnd w:id="142"/>
      <w:bookmarkEnd w:id="143"/>
      <w:bookmarkEnd w:id="144"/>
      <w:bookmarkEnd w:id="145"/>
      <w:bookmarkEnd w:id="146"/>
      <w:bookmarkEnd w:id="147"/>
    </w:p>
    <w:p w14:paraId="7FDEB48A">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合同各方应本着诚信的态度及共同合作的精神，通过协商来努力解决由本合同而产生的或与本合同有关（包括本合同项下某一特定合同）的任何争议及不同意见。协商不能解决的，如任何一方通过诉讼解决由甲方所在地人民法院管辖。</w:t>
      </w:r>
    </w:p>
    <w:p w14:paraId="35AB9B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48" w:name="_Toc8815"/>
      <w:bookmarkStart w:id="149" w:name="_Toc21208"/>
      <w:bookmarkStart w:id="150" w:name="_Toc22773"/>
      <w:bookmarkStart w:id="151" w:name="_Toc505152666"/>
      <w:bookmarkStart w:id="152" w:name="_Toc14716"/>
      <w:bookmarkStart w:id="153" w:name="_Toc495595356"/>
      <w:bookmarkStart w:id="154" w:name="_Toc31851"/>
      <w:bookmarkStart w:id="155" w:name="_Toc17750"/>
      <w:bookmarkStart w:id="156" w:name="_Toc505343710"/>
      <w:bookmarkStart w:id="157" w:name="_Toc495995204"/>
      <w:bookmarkStart w:id="158" w:name="_Toc505343778"/>
      <w:r>
        <w:rPr>
          <w:rFonts w:hint="eastAsia" w:ascii="宋体" w:hAnsi="宋体" w:eastAsia="宋体" w:cs="宋体"/>
          <w:b/>
          <w:color w:val="auto"/>
          <w:sz w:val="22"/>
          <w:szCs w:val="22"/>
        </w:rPr>
        <w:t>十三、协议期限</w:t>
      </w:r>
      <w:bookmarkEnd w:id="148"/>
      <w:bookmarkEnd w:id="149"/>
      <w:bookmarkEnd w:id="150"/>
      <w:bookmarkEnd w:id="151"/>
      <w:bookmarkEnd w:id="152"/>
      <w:bookmarkEnd w:id="153"/>
      <w:bookmarkEnd w:id="154"/>
      <w:bookmarkEnd w:id="155"/>
      <w:bookmarkEnd w:id="156"/>
      <w:bookmarkEnd w:id="157"/>
      <w:bookmarkEnd w:id="158"/>
    </w:p>
    <w:p w14:paraId="3A12653D">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sz w:val="22"/>
          <w:szCs w:val="22"/>
        </w:rPr>
      </w:pPr>
      <w:bookmarkStart w:id="159" w:name="_Toc495595357"/>
      <w:bookmarkStart w:id="160" w:name="_Toc495995205"/>
      <w:r>
        <w:rPr>
          <w:rFonts w:hint="eastAsia" w:ascii="宋体" w:hAnsi="宋体" w:eastAsia="宋体" w:cs="宋体"/>
          <w:color w:val="auto"/>
          <w:sz w:val="22"/>
          <w:szCs w:val="22"/>
        </w:rPr>
        <w:t>1、</w:t>
      </w:r>
      <w:r>
        <w:rPr>
          <w:rFonts w:hint="eastAsia" w:ascii="宋体" w:hAnsi="宋体" w:eastAsia="宋体" w:cs="宋体"/>
          <w:color w:val="auto"/>
          <w:spacing w:val="10"/>
          <w:sz w:val="22"/>
          <w:szCs w:val="22"/>
        </w:rPr>
        <w:t>合同经</w:t>
      </w:r>
      <w:r>
        <w:rPr>
          <w:rFonts w:hint="eastAsia" w:ascii="宋体" w:hAnsi="宋体" w:eastAsia="宋体" w:cs="宋体"/>
          <w:color w:val="auto"/>
          <w:sz w:val="22"/>
          <w:szCs w:val="22"/>
        </w:rPr>
        <w:t>甲</w:t>
      </w:r>
      <w:r>
        <w:rPr>
          <w:rFonts w:hint="eastAsia" w:ascii="宋体" w:hAnsi="宋体" w:eastAsia="宋体" w:cs="宋体"/>
          <w:color w:val="auto"/>
          <w:spacing w:val="10"/>
          <w:sz w:val="22"/>
          <w:szCs w:val="22"/>
        </w:rPr>
        <w:t>、</w:t>
      </w:r>
      <w:r>
        <w:rPr>
          <w:rFonts w:hint="eastAsia" w:ascii="宋体" w:hAnsi="宋体" w:eastAsia="宋体" w:cs="宋体"/>
          <w:color w:val="auto"/>
          <w:sz w:val="22"/>
          <w:szCs w:val="22"/>
        </w:rPr>
        <w:t>乙</w:t>
      </w:r>
      <w:r>
        <w:rPr>
          <w:rFonts w:hint="eastAsia" w:ascii="宋体" w:hAnsi="宋体" w:eastAsia="宋体" w:cs="宋体"/>
          <w:color w:val="auto"/>
          <w:sz w:val="22"/>
          <w:szCs w:val="22"/>
          <w:lang w:val="en-US" w:eastAsia="zh-CN"/>
        </w:rPr>
        <w:t>双</w:t>
      </w:r>
      <w:r>
        <w:rPr>
          <w:rFonts w:hint="eastAsia" w:ascii="宋体" w:hAnsi="宋体" w:eastAsia="宋体" w:cs="宋体"/>
          <w:color w:val="auto"/>
          <w:spacing w:val="10"/>
          <w:sz w:val="22"/>
          <w:szCs w:val="22"/>
        </w:rPr>
        <w:t>方法定代表人或者代表人签字并加盖公章(或合同章)即行生效。</w:t>
      </w:r>
    </w:p>
    <w:p w14:paraId="201F758E">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2、合同签订后即直接产生权利与义务的关系，合同执行过程中出现的问题应按照合同法等有关规定办理。</w:t>
      </w:r>
    </w:p>
    <w:p w14:paraId="5FD8F17E">
      <w:pPr>
        <w:pageBreakBefore w:val="0"/>
        <w:widowControl w:val="0"/>
        <w:kinsoku/>
        <w:wordWrap/>
        <w:overflowPunct/>
        <w:topLinePunct w:val="0"/>
        <w:bidi w:val="0"/>
        <w:spacing w:line="336" w:lineRule="auto"/>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3、合同在执行过程中出现的未尽事宜，</w:t>
      </w:r>
      <w:r>
        <w:rPr>
          <w:rFonts w:hint="eastAsia" w:ascii="宋体" w:hAnsi="宋体" w:eastAsia="宋体" w:cs="宋体"/>
          <w:color w:val="auto"/>
          <w:sz w:val="22"/>
          <w:szCs w:val="22"/>
          <w:lang w:val="en-US" w:eastAsia="zh-CN"/>
        </w:rPr>
        <w:t>双</w:t>
      </w:r>
      <w:r>
        <w:rPr>
          <w:rFonts w:hint="eastAsia" w:ascii="宋体" w:hAnsi="宋体" w:eastAsia="宋体" w:cs="宋体"/>
          <w:color w:val="auto"/>
          <w:sz w:val="22"/>
          <w:szCs w:val="22"/>
        </w:rPr>
        <w:t>方在不违背本合同和采购文件的原则下协商解决，协商结果以“纪要”形式盖章记录在案，作为本合同的附件，与本合同具有同等效力。</w:t>
      </w:r>
    </w:p>
    <w:p w14:paraId="206DC8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61" w:name="_Toc18471"/>
      <w:bookmarkStart w:id="162" w:name="_Toc20961"/>
      <w:bookmarkStart w:id="163" w:name="_Toc505343711"/>
      <w:bookmarkStart w:id="164" w:name="_Toc28582"/>
      <w:bookmarkStart w:id="165" w:name="_Toc1198"/>
      <w:bookmarkStart w:id="166" w:name="_Toc505343779"/>
      <w:bookmarkStart w:id="167" w:name="_Toc19555"/>
      <w:bookmarkStart w:id="168" w:name="_Toc26576"/>
      <w:bookmarkStart w:id="169" w:name="_Toc505152667"/>
      <w:r>
        <w:rPr>
          <w:rFonts w:hint="eastAsia" w:ascii="宋体" w:hAnsi="宋体" w:eastAsia="宋体" w:cs="宋体"/>
          <w:b/>
          <w:color w:val="auto"/>
          <w:sz w:val="22"/>
          <w:szCs w:val="22"/>
        </w:rPr>
        <w:t>十四、不可抗力</w:t>
      </w:r>
      <w:bookmarkEnd w:id="159"/>
      <w:bookmarkEnd w:id="160"/>
      <w:bookmarkEnd w:id="161"/>
      <w:bookmarkEnd w:id="162"/>
      <w:bookmarkEnd w:id="163"/>
      <w:bookmarkEnd w:id="164"/>
      <w:bookmarkEnd w:id="165"/>
      <w:bookmarkEnd w:id="166"/>
      <w:bookmarkEnd w:id="167"/>
      <w:bookmarkEnd w:id="168"/>
      <w:bookmarkEnd w:id="169"/>
    </w:p>
    <w:p w14:paraId="575177FE">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1、本合同项下的“不可抗力”是指不能预见，不能避免且不能克服的客观情况，使得本合同一方当事人无法履行合同义务，如战争、严重火灾、水灾、风灾和地震属于不可抗力的事故。</w:t>
      </w:r>
    </w:p>
    <w:p w14:paraId="6AA1FF78">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EDD853B">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3、如不可抗力时间延续120天以上的，各方通过协商达成在合理的时间内继续履行合同，或部分履行合同，或终止合同的履行。</w:t>
      </w:r>
    </w:p>
    <w:p w14:paraId="5D6E5234">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4、一方迟延履行后发生不可抗力的，不能免除责任。</w:t>
      </w:r>
    </w:p>
    <w:p w14:paraId="5C670E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70" w:name="_Toc505152668"/>
      <w:bookmarkStart w:id="171" w:name="_Toc28440"/>
      <w:bookmarkStart w:id="172" w:name="_Toc495995206"/>
      <w:bookmarkStart w:id="173" w:name="_Toc7914"/>
      <w:bookmarkStart w:id="174" w:name="_Toc505343780"/>
      <w:bookmarkStart w:id="175" w:name="_Toc495595358"/>
      <w:bookmarkStart w:id="176" w:name="_Toc505343712"/>
      <w:bookmarkStart w:id="177" w:name="_Toc11346"/>
      <w:bookmarkStart w:id="178" w:name="_Toc30135"/>
      <w:bookmarkStart w:id="179" w:name="_Toc20084"/>
      <w:bookmarkStart w:id="180" w:name="_Toc1873"/>
      <w:r>
        <w:rPr>
          <w:rFonts w:hint="eastAsia" w:ascii="宋体" w:hAnsi="宋体" w:eastAsia="宋体" w:cs="宋体"/>
          <w:b/>
          <w:color w:val="auto"/>
          <w:sz w:val="22"/>
          <w:szCs w:val="22"/>
        </w:rPr>
        <w:t>十五、通知和合同修改</w:t>
      </w:r>
      <w:bookmarkEnd w:id="170"/>
      <w:bookmarkEnd w:id="171"/>
      <w:bookmarkEnd w:id="172"/>
      <w:bookmarkEnd w:id="173"/>
      <w:bookmarkEnd w:id="174"/>
      <w:bookmarkEnd w:id="175"/>
      <w:bookmarkEnd w:id="176"/>
      <w:bookmarkEnd w:id="177"/>
      <w:bookmarkEnd w:id="178"/>
      <w:bookmarkEnd w:id="179"/>
      <w:bookmarkEnd w:id="180"/>
    </w:p>
    <w:p w14:paraId="279F1CAA">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本合同一方给另一方的通知，都应以书面的形式（信函、传真）发送至对方，对本合同条款进行任何改动，均须由甲乙双方签署书面合同修改签证，方为有效。</w:t>
      </w:r>
    </w:p>
    <w:p w14:paraId="55F70A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81" w:name="_Toc1752"/>
      <w:bookmarkStart w:id="182" w:name="_Toc26214"/>
      <w:bookmarkStart w:id="183" w:name="_Toc495595359"/>
      <w:bookmarkStart w:id="184" w:name="_Toc24299"/>
      <w:bookmarkStart w:id="185" w:name="_Toc8141"/>
      <w:bookmarkStart w:id="186" w:name="_Toc11339"/>
      <w:bookmarkStart w:id="187" w:name="_Toc505152669"/>
      <w:bookmarkStart w:id="188" w:name="_Toc505343713"/>
      <w:bookmarkStart w:id="189" w:name="_Toc505343781"/>
      <w:bookmarkStart w:id="190" w:name="_Toc495995207"/>
      <w:bookmarkStart w:id="191" w:name="_Toc21611"/>
      <w:r>
        <w:rPr>
          <w:rFonts w:hint="eastAsia" w:ascii="宋体" w:hAnsi="宋体" w:eastAsia="宋体" w:cs="宋体"/>
          <w:b/>
          <w:color w:val="auto"/>
          <w:sz w:val="22"/>
          <w:szCs w:val="22"/>
        </w:rPr>
        <w:t>十六、其他规定</w:t>
      </w:r>
      <w:bookmarkEnd w:id="181"/>
      <w:bookmarkEnd w:id="182"/>
      <w:bookmarkEnd w:id="183"/>
      <w:bookmarkEnd w:id="184"/>
      <w:bookmarkEnd w:id="185"/>
      <w:bookmarkEnd w:id="186"/>
      <w:bookmarkEnd w:id="187"/>
      <w:bookmarkEnd w:id="188"/>
      <w:bookmarkEnd w:id="189"/>
      <w:bookmarkEnd w:id="190"/>
      <w:bookmarkEnd w:id="191"/>
    </w:p>
    <w:p w14:paraId="78512991">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本协议的附件为本协议不可分割的部分，与本协议正文具有同等的法律效力。协议附件与本协议约定不一致的，以本协议的约定为准，除非双方一致同意并以书面形式表示以协议附件为准。</w:t>
      </w:r>
    </w:p>
    <w:p w14:paraId="34E4C62F">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本合同甲、乙双方均同意以上条款内容。</w:t>
      </w:r>
    </w:p>
    <w:p w14:paraId="27526DD5">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本合同的订立、履行、变更、终止、解释等均适用中华人民共和国法律。</w:t>
      </w:r>
    </w:p>
    <w:p w14:paraId="3E623297">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本合同未尽事宜由双方共同协商，另行订立补充协议，补充协议与本协议具有同样的法律效力。如果本合同之附件与本合同规定不符, 以本合同规定为准。</w:t>
      </w:r>
    </w:p>
    <w:p w14:paraId="07F747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2"/>
          <w:szCs w:val="22"/>
        </w:rPr>
      </w:pPr>
      <w:bookmarkStart w:id="192" w:name="_Toc20205"/>
      <w:bookmarkStart w:id="193" w:name="_Toc30447"/>
      <w:bookmarkStart w:id="194" w:name="_Toc495595360"/>
      <w:bookmarkStart w:id="195" w:name="_Toc505152670"/>
      <w:bookmarkStart w:id="196" w:name="_Toc505343714"/>
      <w:bookmarkStart w:id="197" w:name="_Toc10870"/>
      <w:bookmarkStart w:id="198" w:name="_Toc495995208"/>
      <w:bookmarkStart w:id="199" w:name="_Toc13755"/>
      <w:bookmarkStart w:id="200" w:name="_Toc9963"/>
      <w:bookmarkStart w:id="201" w:name="_Toc505343782"/>
      <w:bookmarkStart w:id="202" w:name="_Toc9441"/>
      <w:r>
        <w:rPr>
          <w:rFonts w:hint="eastAsia" w:ascii="宋体" w:hAnsi="宋体" w:eastAsia="宋体" w:cs="宋体"/>
          <w:b/>
          <w:color w:val="auto"/>
          <w:sz w:val="22"/>
          <w:szCs w:val="22"/>
        </w:rPr>
        <w:t>十七、合同生效</w:t>
      </w:r>
      <w:bookmarkEnd w:id="192"/>
      <w:bookmarkEnd w:id="193"/>
      <w:bookmarkEnd w:id="194"/>
      <w:bookmarkEnd w:id="195"/>
      <w:bookmarkEnd w:id="196"/>
      <w:bookmarkEnd w:id="197"/>
      <w:bookmarkEnd w:id="198"/>
      <w:bookmarkEnd w:id="199"/>
      <w:bookmarkEnd w:id="200"/>
      <w:bookmarkEnd w:id="201"/>
      <w:bookmarkEnd w:id="202"/>
    </w:p>
    <w:p w14:paraId="68A614DF">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1、本合同一式</w:t>
      </w:r>
      <w:r>
        <w:rPr>
          <w:rFonts w:hint="eastAsia" w:ascii="宋体" w:hAnsi="宋体" w:eastAsia="宋体" w:cs="宋体"/>
          <w:color w:val="auto"/>
          <w:sz w:val="22"/>
          <w:szCs w:val="22"/>
          <w:lang w:eastAsia="zh-CN"/>
        </w:rPr>
        <w:t>肆</w:t>
      </w:r>
      <w:r>
        <w:rPr>
          <w:rFonts w:hint="eastAsia" w:ascii="宋体" w:hAnsi="宋体" w:eastAsia="宋体" w:cs="宋体"/>
          <w:color w:val="auto"/>
          <w:sz w:val="22"/>
          <w:szCs w:val="22"/>
        </w:rPr>
        <w:t>份，其中，甲方</w:t>
      </w:r>
      <w:r>
        <w:rPr>
          <w:rFonts w:hint="eastAsia" w:ascii="宋体" w:hAnsi="宋体" w:eastAsia="宋体" w:cs="宋体"/>
          <w:color w:val="auto"/>
          <w:sz w:val="22"/>
          <w:szCs w:val="22"/>
          <w:lang w:val="en-US" w:eastAsia="zh-CN"/>
        </w:rPr>
        <w:t>贰</w:t>
      </w:r>
      <w:r>
        <w:rPr>
          <w:rFonts w:hint="eastAsia" w:ascii="宋体" w:hAnsi="宋体" w:eastAsia="宋体" w:cs="宋体"/>
          <w:color w:val="auto"/>
          <w:sz w:val="22"/>
          <w:szCs w:val="22"/>
        </w:rPr>
        <w:t>份，乙方</w:t>
      </w:r>
      <w:r>
        <w:rPr>
          <w:rFonts w:hint="eastAsia" w:ascii="宋体" w:hAnsi="宋体" w:eastAsia="宋体" w:cs="宋体"/>
          <w:color w:val="auto"/>
          <w:sz w:val="22"/>
          <w:szCs w:val="22"/>
          <w:lang w:val="en-US" w:eastAsia="zh-CN"/>
        </w:rPr>
        <w:t>贰</w:t>
      </w:r>
      <w:r>
        <w:rPr>
          <w:rFonts w:hint="eastAsia" w:ascii="宋体" w:hAnsi="宋体" w:eastAsia="宋体" w:cs="宋体"/>
          <w:color w:val="auto"/>
          <w:sz w:val="22"/>
          <w:szCs w:val="22"/>
        </w:rPr>
        <w:t>份。</w:t>
      </w:r>
    </w:p>
    <w:p w14:paraId="647F553B">
      <w:pPr>
        <w:pageBreakBefore w:val="0"/>
        <w:widowControl w:val="0"/>
        <w:kinsoku/>
        <w:wordWrap/>
        <w:overflowPunct/>
        <w:topLinePunct w:val="0"/>
        <w:bidi w:val="0"/>
        <w:spacing w:line="336" w:lineRule="auto"/>
        <w:ind w:firstLine="330" w:firstLineChars="15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2、本合同由甲乙双方共同签字盖章，自甲乙双方共同签字盖章之日起生效。</w:t>
      </w:r>
    </w:p>
    <w:p w14:paraId="05F06CDC">
      <w:pPr>
        <w:pStyle w:val="4"/>
        <w:pageBreakBefore w:val="0"/>
        <w:widowControl w:val="0"/>
        <w:kinsoku/>
        <w:wordWrap/>
        <w:overflowPunct/>
        <w:topLinePunct w:val="0"/>
        <w:bidi w:val="0"/>
        <w:spacing w:line="336" w:lineRule="auto"/>
        <w:ind w:firstLine="480"/>
        <w:textAlignment w:val="auto"/>
        <w:rPr>
          <w:rFonts w:hint="eastAsia" w:ascii="宋体" w:hAnsi="宋体" w:eastAsia="宋体" w:cs="宋体"/>
          <w:color w:val="auto"/>
          <w:kern w:val="28"/>
          <w:sz w:val="22"/>
          <w:szCs w:val="22"/>
        </w:rPr>
      </w:pPr>
    </w:p>
    <w:p w14:paraId="1F715675">
      <w:pPr>
        <w:pageBreakBefore w:val="0"/>
        <w:widowControl w:val="0"/>
        <w:tabs>
          <w:tab w:val="left" w:pos="615"/>
        </w:tabs>
        <w:kinsoku/>
        <w:wordWrap/>
        <w:overflowPunct/>
        <w:topLinePunct w:val="0"/>
        <w:bidi w:val="0"/>
        <w:spacing w:line="336" w:lineRule="auto"/>
        <w:textAlignment w:val="auto"/>
        <w:rPr>
          <w:rFonts w:hint="eastAsia" w:ascii="宋体" w:hAnsi="宋体" w:eastAsia="宋体" w:cs="宋体"/>
          <w:color w:val="auto"/>
          <w:sz w:val="22"/>
          <w:szCs w:val="22"/>
        </w:rPr>
      </w:pPr>
    </w:p>
    <w:p w14:paraId="6EA3E804">
      <w:pPr>
        <w:tabs>
          <w:tab w:val="left" w:pos="1575"/>
        </w:tabs>
        <w:spacing w:line="360" w:lineRule="auto"/>
        <w:ind w:firstLine="220" w:firstLineChars="100"/>
        <w:rPr>
          <w:rFonts w:hint="eastAsia" w:ascii="宋体" w:hAnsi="宋体" w:eastAsia="宋体" w:cs="宋体"/>
          <w:color w:val="auto"/>
          <w:sz w:val="22"/>
          <w:szCs w:val="22"/>
        </w:rPr>
      </w:pPr>
      <w:r>
        <w:rPr>
          <w:rFonts w:hint="eastAsia" w:ascii="宋体" w:hAnsi="宋体" w:eastAsia="宋体" w:cs="宋体"/>
          <w:color w:val="auto"/>
          <w:sz w:val="22"/>
          <w:szCs w:val="22"/>
        </w:rPr>
        <w:t xml:space="preserve">甲方（盖章）：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ab/>
      </w:r>
      <w:r>
        <w:rPr>
          <w:rFonts w:hint="eastAsia" w:ascii="宋体" w:hAnsi="宋体" w:eastAsia="宋体" w:cs="宋体"/>
          <w:color w:val="auto"/>
          <w:sz w:val="22"/>
          <w:szCs w:val="22"/>
        </w:rPr>
        <w:t>乙方（盖章）：</w:t>
      </w:r>
    </w:p>
    <w:p w14:paraId="06373E9C">
      <w:pPr>
        <w:tabs>
          <w:tab w:val="left" w:pos="4695"/>
        </w:tabs>
        <w:spacing w:line="360" w:lineRule="auto"/>
        <w:ind w:firstLine="220" w:firstLineChars="100"/>
        <w:rPr>
          <w:rFonts w:hint="eastAsia" w:ascii="宋体" w:hAnsi="宋体" w:eastAsia="宋体" w:cs="宋体"/>
          <w:color w:val="auto"/>
          <w:sz w:val="22"/>
          <w:szCs w:val="22"/>
        </w:rPr>
      </w:pPr>
      <w:r>
        <w:rPr>
          <w:rFonts w:hint="eastAsia" w:ascii="宋体" w:hAnsi="宋体" w:eastAsia="宋体" w:cs="宋体"/>
          <w:color w:val="auto"/>
          <w:sz w:val="22"/>
          <w:szCs w:val="22"/>
        </w:rPr>
        <w:t>代表：</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 xml:space="preserve">代表： </w:t>
      </w:r>
    </w:p>
    <w:p w14:paraId="039C69EB">
      <w:pPr>
        <w:tabs>
          <w:tab w:val="left" w:pos="1575"/>
        </w:tabs>
        <w:spacing w:line="360" w:lineRule="auto"/>
        <w:ind w:firstLine="220" w:firstLineChars="1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签定地点：</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签定地点：</w:t>
      </w:r>
    </w:p>
    <w:p w14:paraId="189128DF">
      <w:pPr>
        <w:tabs>
          <w:tab w:val="left" w:pos="1575"/>
        </w:tabs>
        <w:spacing w:line="360" w:lineRule="auto"/>
        <w:ind w:firstLine="220" w:firstLineChars="100"/>
        <w:rPr>
          <w:rFonts w:hint="eastAsia" w:ascii="宋体" w:hAnsi="宋体" w:eastAsia="宋体" w:cs="宋体"/>
          <w:color w:val="auto"/>
          <w:sz w:val="22"/>
          <w:szCs w:val="22"/>
        </w:rPr>
      </w:pPr>
      <w:r>
        <w:rPr>
          <w:rFonts w:hint="eastAsia" w:ascii="宋体" w:hAnsi="宋体" w:eastAsia="宋体" w:cs="宋体"/>
          <w:color w:val="auto"/>
          <w:sz w:val="22"/>
          <w:szCs w:val="22"/>
        </w:rPr>
        <w:t>签定日期：</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年</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月</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日</w:t>
      </w:r>
      <w:r>
        <w:rPr>
          <w:rFonts w:hint="eastAsia" w:ascii="宋体" w:hAnsi="宋体" w:eastAsia="宋体" w:cs="宋体"/>
          <w:color w:val="auto"/>
          <w:sz w:val="22"/>
          <w:szCs w:val="22"/>
        </w:rPr>
        <w:tab/>
      </w:r>
      <w:r>
        <w:rPr>
          <w:rFonts w:hint="eastAsia" w:ascii="宋体" w:hAnsi="宋体" w:eastAsia="宋体" w:cs="宋体"/>
          <w:color w:val="auto"/>
          <w:sz w:val="22"/>
          <w:szCs w:val="22"/>
        </w:rPr>
        <w:t xml:space="preserve">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 xml:space="preserve">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签定日期：</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年</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月</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日</w:t>
      </w:r>
    </w:p>
    <w:p w14:paraId="5C7D43AC">
      <w:pPr>
        <w:spacing w:line="360" w:lineRule="auto"/>
        <w:ind w:firstLine="220" w:firstLineChars="100"/>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开户名称：</w:t>
      </w:r>
      <w:r>
        <w:rPr>
          <w:rFonts w:hint="eastAsia" w:ascii="宋体" w:hAnsi="宋体" w:eastAsia="宋体" w:cs="宋体"/>
          <w:color w:val="auto"/>
          <w:sz w:val="22"/>
          <w:szCs w:val="22"/>
          <w:lang w:eastAsia="zh-CN"/>
        </w:rPr>
        <w:tab/>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开户名称：</w:t>
      </w:r>
    </w:p>
    <w:p w14:paraId="2C1CF4F5">
      <w:pPr>
        <w:tabs>
          <w:tab w:val="left" w:pos="1575"/>
        </w:tabs>
        <w:spacing w:line="360" w:lineRule="auto"/>
        <w:ind w:firstLine="220" w:firstLineChars="100"/>
        <w:rPr>
          <w:rFonts w:hint="eastAsia" w:ascii="宋体" w:hAnsi="宋体" w:eastAsia="宋体" w:cs="宋体"/>
          <w:color w:val="auto"/>
          <w:sz w:val="22"/>
          <w:szCs w:val="22"/>
        </w:rPr>
      </w:pPr>
      <w:r>
        <w:rPr>
          <w:rFonts w:hint="eastAsia" w:ascii="宋体" w:hAnsi="宋体" w:eastAsia="宋体" w:cs="宋体"/>
          <w:color w:val="auto"/>
          <w:sz w:val="22"/>
          <w:szCs w:val="22"/>
        </w:rPr>
        <w:t>银行帐号：</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银行帐号：</w:t>
      </w:r>
    </w:p>
    <w:p w14:paraId="1DCE07F2">
      <w:pPr>
        <w:spacing w:line="360" w:lineRule="auto"/>
        <w:ind w:firstLine="220" w:firstLineChars="100"/>
        <w:rPr>
          <w:rFonts w:hint="eastAsia"/>
        </w:rPr>
      </w:pPr>
      <w:r>
        <w:rPr>
          <w:rFonts w:hint="eastAsia" w:ascii="宋体" w:hAnsi="宋体" w:eastAsia="宋体" w:cs="宋体"/>
          <w:color w:val="auto"/>
          <w:sz w:val="22"/>
          <w:szCs w:val="22"/>
        </w:rPr>
        <w:t>开 户 行：</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开 户 行：</w:t>
      </w:r>
    </w:p>
    <w:bookmarkEnd w:id="0"/>
    <w:p w14:paraId="44B5F6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422E1"/>
    <w:rsid w:val="170E60EB"/>
    <w:rsid w:val="2D881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keepNext/>
      <w:keepLines/>
      <w:spacing w:before="260" w:after="260" w:line="416" w:lineRule="auto"/>
      <w:jc w:val="center"/>
      <w:outlineLvl w:val="1"/>
    </w:pPr>
    <w:rPr>
      <w:rFonts w:ascii="Arial" w:hAnsi="Arial" w:eastAsia="宋体"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4">
    <w:name w:val="Normal Indent"/>
    <w:basedOn w:val="1"/>
    <w:next w:val="1"/>
    <w:qFormat/>
    <w:uiPriority w:val="0"/>
    <w:pPr>
      <w:ind w:firstLine="420" w:firstLineChars="200"/>
    </w:p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3230</Words>
  <Characters>3267</Characters>
  <Lines>0</Lines>
  <Paragraphs>0</Paragraphs>
  <TotalTime>0</TotalTime>
  <ScaleCrop>false</ScaleCrop>
  <LinksUpToDate>false</LinksUpToDate>
  <CharactersWithSpaces>4032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2025-12-11T07:02:00Z</dcterms:created>
  <dc:creator>Administrator</dc:creator>
  <cp:lastModifiedBy>王琳娜</cp:lastModifiedBy>
  <dcterms:modified xsi:type="dcterms:W3CDTF">2025-12-15T11:52:30Z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29521BC41FB04C9296E5F59EC13ABEF9_12</vt:lpwstr>
  </property>
  <property fmtid="{D5CDD505-2E9C-101B-9397-08002B2CF9AE}" pid="4" name="KSOTemplateDocerSaveRecord">
    <vt:lpwstr>eyJoZGlkIjoiZmU1OGI5ZTczYzEwODBiY2ZlMTY5M2NlNTQyNWM1ODgiLCJ1c2VySWQiOiIzNzI5NDI4ODkifQ==</vt:lpwstr>
  </property>
</Properties>
</file>